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3" w:rsidRDefault="00E07C53">
      <w:pPr>
        <w:rPr>
          <w:b/>
          <w:color w:val="0070C0"/>
        </w:rPr>
      </w:pPr>
      <w:bookmarkStart w:id="0" w:name="_GoBack"/>
      <w:bookmarkEnd w:id="0"/>
    </w:p>
    <w:p w:rsidR="00B65245" w:rsidRDefault="00CC20EF" w:rsidP="004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Component 4</w:t>
      </w:r>
      <w:r w:rsidR="00B65245">
        <w:rPr>
          <w:b/>
          <w:color w:val="FF0000"/>
          <w:sz w:val="24"/>
          <w:szCs w:val="24"/>
        </w:rPr>
        <w:t>: Prose Study</w:t>
      </w:r>
    </w:p>
    <w:p w:rsidR="004168B0" w:rsidRDefault="00941D14" w:rsidP="004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CANDIDATE </w:t>
      </w:r>
      <w:r w:rsidR="00046E23">
        <w:rPr>
          <w:b/>
          <w:color w:val="FF0000"/>
          <w:sz w:val="24"/>
          <w:szCs w:val="24"/>
        </w:rPr>
        <w:t>C</w:t>
      </w:r>
      <w:r w:rsidR="00B65245">
        <w:rPr>
          <w:b/>
          <w:color w:val="FF0000"/>
          <w:sz w:val="24"/>
          <w:szCs w:val="24"/>
        </w:rPr>
        <w:t>: Band 4</w:t>
      </w:r>
    </w:p>
    <w:p w:rsidR="004168B0" w:rsidRDefault="005D1290" w:rsidP="00B6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How are the themes of suffering and violence presented in </w:t>
      </w:r>
      <w:r w:rsidRPr="008C7C9D">
        <w:rPr>
          <w:i/>
          <w:sz w:val="24"/>
          <w:szCs w:val="24"/>
        </w:rPr>
        <w:t>The Great Gatsby</w:t>
      </w:r>
      <w:r>
        <w:rPr>
          <w:sz w:val="24"/>
          <w:szCs w:val="24"/>
        </w:rPr>
        <w:t xml:space="preserve"> and </w:t>
      </w:r>
      <w:r w:rsidRPr="008C7C9D">
        <w:rPr>
          <w:i/>
          <w:sz w:val="24"/>
          <w:szCs w:val="24"/>
        </w:rPr>
        <w:t>The Kite Runner</w:t>
      </w:r>
      <w:r>
        <w:rPr>
          <w:sz w:val="24"/>
          <w:szCs w:val="24"/>
        </w:rPr>
        <w:t>?</w:t>
      </w:r>
    </w:p>
    <w:p w:rsidR="00E07C53" w:rsidRPr="00BF6144" w:rsidRDefault="00DB0411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F6144">
        <w:rPr>
          <w:rFonts w:asciiTheme="majorHAnsi" w:hAnsiTheme="majorHAnsi" w:cstheme="majorHAnsi"/>
          <w:b/>
          <w:sz w:val="24"/>
          <w:szCs w:val="24"/>
          <w:lang w:val="en-US"/>
        </w:rPr>
        <w:t>Wording of task</w:t>
      </w:r>
    </w:p>
    <w:p w:rsidR="00047877" w:rsidRDefault="00047877" w:rsidP="00047877">
      <w:pPr>
        <w:pStyle w:val="ListParagraph"/>
        <w:numPr>
          <w:ilvl w:val="0"/>
          <w:numId w:val="19"/>
        </w:numPr>
        <w:spacing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 w:rsidRPr="00047877">
        <w:rPr>
          <w:rFonts w:asciiTheme="majorHAnsi" w:hAnsiTheme="majorHAnsi" w:cstheme="majorHAnsi"/>
          <w:sz w:val="24"/>
          <w:szCs w:val="24"/>
          <w:lang w:val="en-US"/>
        </w:rPr>
        <w:t>An interesting pairing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and topic but the task might have been worded more carefully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so as to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help the candidate structure the material into a tighter argument. The rather open-ended instruction and the focus on both violence and the relatively abstract ‘suffering’ make it less easy for him to pinpoint exact meaning.</w:t>
      </w:r>
    </w:p>
    <w:p w:rsidR="00047877" w:rsidRDefault="00047877" w:rsidP="00047877">
      <w:pPr>
        <w:pStyle w:val="ListParagraph"/>
        <w:numPr>
          <w:ilvl w:val="0"/>
          <w:numId w:val="19"/>
        </w:numPr>
        <w:spacing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There is a clear steer towards AO2 in the use of ‘presentation’ but an accessible critical opinion might have been useful in narrowing the focus and allowing the candidate to take a stance and make an argument, for example:</w:t>
      </w:r>
    </w:p>
    <w:p w:rsidR="004569DA" w:rsidRDefault="004569DA" w:rsidP="008C7C9D">
      <w:pPr>
        <w:pStyle w:val="ListParagraph"/>
        <w:spacing w:line="276" w:lineRule="auto"/>
        <w:ind w:left="156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569DA">
        <w:rPr>
          <w:rFonts w:asciiTheme="majorHAnsi" w:hAnsiTheme="majorHAnsi" w:cstheme="majorHAnsi"/>
          <w:b/>
          <w:i/>
          <w:sz w:val="24"/>
          <w:szCs w:val="24"/>
          <w:lang w:val="en-US"/>
        </w:rPr>
        <w:t>‘The novels rob violence of any glamour: while the act itself may be fleeting, the effects are inescapable, long-lasting and potentially devastating.’</w:t>
      </w:r>
      <w:r w:rsidRPr="004569D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47877" w:rsidRPr="004569D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</w:p>
    <w:p w:rsidR="00D613C0" w:rsidRDefault="004569DA" w:rsidP="008C7C9D">
      <w:pPr>
        <w:pStyle w:val="ListParagraph"/>
        <w:spacing w:line="276" w:lineRule="auto"/>
        <w:ind w:left="156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569DA">
        <w:rPr>
          <w:rFonts w:asciiTheme="majorHAnsi" w:hAnsiTheme="majorHAnsi" w:cstheme="majorHAnsi"/>
          <w:b/>
          <w:sz w:val="24"/>
          <w:szCs w:val="24"/>
          <w:lang w:val="en-US"/>
        </w:rPr>
        <w:t xml:space="preserve">With this view in mind, </w:t>
      </w:r>
      <w:proofErr w:type="gramStart"/>
      <w:r w:rsidRPr="004569DA">
        <w:rPr>
          <w:rFonts w:asciiTheme="majorHAnsi" w:hAnsiTheme="majorHAnsi" w:cstheme="majorHAnsi"/>
          <w:b/>
          <w:sz w:val="24"/>
          <w:szCs w:val="24"/>
          <w:lang w:val="en-US"/>
        </w:rPr>
        <w:t>compare and contrast</w:t>
      </w:r>
      <w:proofErr w:type="gramEnd"/>
      <w:r w:rsidRPr="004569D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the ways in which the writers present violence and its effects in…</w:t>
      </w:r>
    </w:p>
    <w:p w:rsidR="004569DA" w:rsidRPr="004569DA" w:rsidRDefault="004569DA" w:rsidP="00047877">
      <w:pPr>
        <w:pStyle w:val="ListParagraph"/>
        <w:spacing w:line="276" w:lineRule="auto"/>
        <w:ind w:left="2160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07C53" w:rsidRPr="008C7C9D" w:rsidRDefault="00E07C53" w:rsidP="008C7C9D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AO1</w:t>
      </w:r>
      <w:r w:rsidR="00430084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:</w:t>
      </w:r>
      <w:r w:rsidR="0066350C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 </w:t>
      </w:r>
      <w:r w:rsidR="004569DA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Secure Band 4</w:t>
      </w:r>
      <w:r w:rsidR="00D613C0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 </w:t>
      </w:r>
      <w:r w:rsidR="00430084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–</w:t>
      </w:r>
      <w:r w:rsidR="00837173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 </w:t>
      </w:r>
      <w:r w:rsidR="00046E23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 15</w:t>
      </w:r>
      <w:r w:rsidR="00D613C0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 xml:space="preserve"> </w:t>
      </w:r>
      <w:r w:rsidR="00430084" w:rsidRPr="008C7C9D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en-US"/>
        </w:rPr>
        <w:t>marks</w:t>
      </w:r>
    </w:p>
    <w:p w:rsidR="00101238" w:rsidRDefault="00101238" w:rsidP="00101238">
      <w:pPr>
        <w:pStyle w:val="ListParagraph"/>
        <w:numPr>
          <w:ilvl w:val="0"/>
          <w:numId w:val="15"/>
        </w:numPr>
        <w:tabs>
          <w:tab w:val="left" w:pos="851"/>
        </w:tabs>
        <w:spacing w:after="0"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 candidate demonstrates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sound understanding and good, secure knowledge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of the texts. There are some quite impressive sections but the wide remit of the task perhaps means that, while the </w:t>
      </w:r>
      <w:r w:rsidRPr="008C7C9D">
        <w:rPr>
          <w:rFonts w:asciiTheme="majorHAnsi" w:hAnsiTheme="majorHAnsi" w:cstheme="majorHAnsi"/>
          <w:b/>
          <w:sz w:val="24"/>
          <w:szCs w:val="24"/>
          <w:lang w:val="en-US"/>
        </w:rPr>
        <w:t xml:space="preserve">content is </w:t>
      </w:r>
      <w:r w:rsidR="008C7C9D" w:rsidRPr="008C7C9D">
        <w:rPr>
          <w:rFonts w:asciiTheme="majorHAnsi" w:hAnsiTheme="majorHAnsi" w:cstheme="majorHAnsi"/>
          <w:b/>
          <w:sz w:val="24"/>
          <w:szCs w:val="24"/>
          <w:lang w:val="en-US"/>
        </w:rPr>
        <w:t>structured and generally well-</w:t>
      </w:r>
      <w:r w:rsidR="00405D02" w:rsidRPr="008C7C9D">
        <w:rPr>
          <w:rFonts w:asciiTheme="majorHAnsi" w:hAnsiTheme="majorHAnsi" w:cstheme="majorHAnsi"/>
          <w:b/>
          <w:sz w:val="24"/>
          <w:szCs w:val="24"/>
          <w:lang w:val="en-US"/>
        </w:rPr>
        <w:t>focused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, there is not </w:t>
      </w:r>
      <w:r w:rsidR="00405D02">
        <w:rPr>
          <w:rFonts w:asciiTheme="majorHAnsi" w:hAnsiTheme="majorHAnsi" w:cstheme="majorHAnsi"/>
          <w:sz w:val="24"/>
          <w:szCs w:val="24"/>
          <w:lang w:val="en-US"/>
        </w:rPr>
        <w:t xml:space="preserve">the effective </w:t>
      </w:r>
      <w:proofErr w:type="spellStart"/>
      <w:r w:rsidR="00405D02">
        <w:rPr>
          <w:rFonts w:asciiTheme="majorHAnsi" w:hAnsiTheme="majorHAnsi" w:cstheme="majorHAnsi"/>
          <w:sz w:val="24"/>
          <w:szCs w:val="24"/>
          <w:lang w:val="en-US"/>
        </w:rPr>
        <w:t>organisation</w:t>
      </w:r>
      <w:proofErr w:type="spellEnd"/>
      <w:r w:rsidR="00405D02">
        <w:rPr>
          <w:rFonts w:asciiTheme="majorHAnsi" w:hAnsiTheme="majorHAnsi" w:cstheme="majorHAnsi"/>
          <w:sz w:val="24"/>
          <w:szCs w:val="24"/>
          <w:lang w:val="en-US"/>
        </w:rPr>
        <w:t xml:space="preserve"> into a thoroughly convincing argument nor the sophisticated overview </w:t>
      </w:r>
      <w:proofErr w:type="spellStart"/>
      <w:r w:rsidR="008C7C9D">
        <w:rPr>
          <w:rFonts w:asciiTheme="majorHAnsi" w:hAnsiTheme="majorHAnsi" w:cstheme="majorHAnsi"/>
          <w:sz w:val="24"/>
          <w:szCs w:val="24"/>
          <w:lang w:val="en-US"/>
        </w:rPr>
        <w:t>characteris</w:t>
      </w:r>
      <w:r w:rsidR="00405D02">
        <w:rPr>
          <w:rFonts w:asciiTheme="majorHAnsi" w:hAnsiTheme="majorHAnsi" w:cstheme="majorHAnsi"/>
          <w:sz w:val="24"/>
          <w:szCs w:val="24"/>
          <w:lang w:val="en-US"/>
        </w:rPr>
        <w:t>ing</w:t>
      </w:r>
      <w:proofErr w:type="spellEnd"/>
      <w:r w:rsidR="00405D02">
        <w:rPr>
          <w:rFonts w:asciiTheme="majorHAnsi" w:hAnsiTheme="majorHAnsi" w:cstheme="majorHAnsi"/>
          <w:sz w:val="24"/>
          <w:szCs w:val="24"/>
          <w:lang w:val="en-US"/>
        </w:rPr>
        <w:t xml:space="preserve"> a Band 5 response. There are times when the relevance or placing of a point could be made clearer, as correctly highlighted by the primary markers (lines 54- 59; 88 – 93).</w:t>
      </w:r>
    </w:p>
    <w:p w:rsidR="003C6882" w:rsidRDefault="00405D02" w:rsidP="008C7C9D">
      <w:pPr>
        <w:pStyle w:val="ListParagraph"/>
        <w:numPr>
          <w:ilvl w:val="0"/>
          <w:numId w:val="15"/>
        </w:numPr>
        <w:tabs>
          <w:tab w:val="left" w:pos="851"/>
        </w:tabs>
        <w:spacing w:after="0"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There is use of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relevant terminology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and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expression is very accurate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8C7C9D">
        <w:rPr>
          <w:rFonts w:asciiTheme="majorHAnsi" w:hAnsiTheme="majorHAnsi" w:cstheme="majorHAnsi"/>
          <w:sz w:val="24"/>
          <w:szCs w:val="24"/>
          <w:lang w:val="en-US"/>
        </w:rPr>
        <w:t>on the whole</w:t>
      </w:r>
      <w:proofErr w:type="gramEnd"/>
      <w:r w:rsidR="008C7C9D">
        <w:rPr>
          <w:rFonts w:asciiTheme="majorHAnsi" w:hAnsiTheme="majorHAnsi" w:cstheme="majorHAnsi"/>
          <w:sz w:val="24"/>
          <w:szCs w:val="24"/>
          <w:lang w:val="en-US"/>
        </w:rPr>
        <w:t xml:space="preserve"> with an appropriate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academic register</w:t>
      </w:r>
      <w:r>
        <w:rPr>
          <w:rFonts w:asciiTheme="majorHAnsi" w:hAnsiTheme="majorHAnsi" w:cstheme="majorHAnsi"/>
          <w:sz w:val="24"/>
          <w:szCs w:val="24"/>
          <w:lang w:val="en-US"/>
        </w:rPr>
        <w:t>. There are some slight lapses, however, when the candidate’s meaning is not completely clear.</w:t>
      </w:r>
    </w:p>
    <w:p w:rsidR="008C7C9D" w:rsidRPr="008C7C9D" w:rsidRDefault="008C7C9D" w:rsidP="008C7C9D">
      <w:pPr>
        <w:pStyle w:val="ListParagraph"/>
        <w:tabs>
          <w:tab w:val="left" w:pos="851"/>
        </w:tabs>
        <w:spacing w:after="0" w:line="276" w:lineRule="auto"/>
        <w:ind w:left="709"/>
        <w:rPr>
          <w:rFonts w:asciiTheme="majorHAnsi" w:hAnsiTheme="majorHAnsi" w:cstheme="majorHAnsi"/>
          <w:sz w:val="24"/>
          <w:szCs w:val="24"/>
          <w:lang w:val="en-US"/>
        </w:rPr>
      </w:pPr>
    </w:p>
    <w:p w:rsidR="00332335" w:rsidRPr="003F64C9" w:rsidRDefault="00911DAC" w:rsidP="003F64C9">
      <w:pPr>
        <w:tabs>
          <w:tab w:val="left" w:pos="851"/>
        </w:tabs>
        <w:spacing w:after="0" w:line="276" w:lineRule="auto"/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</w:pPr>
      <w:r w:rsidRPr="00911D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07C53" w:rsidRPr="00911DAC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AO2</w:t>
      </w:r>
      <w:r w:rsidR="00B02696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:</w:t>
      </w:r>
      <w:r w:rsidR="00E6762C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 Band </w:t>
      </w:r>
      <w:r w:rsidR="00405D02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4</w:t>
      </w:r>
      <w:r w:rsidR="00160A1A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 </w:t>
      </w:r>
      <w:r w:rsidR="00405D02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–</w:t>
      </w:r>
      <w:r w:rsidR="00160A1A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 </w:t>
      </w:r>
      <w:r w:rsidR="00046E23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14</w:t>
      </w:r>
      <w:r w:rsidR="00405D02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 xml:space="preserve"> </w:t>
      </w:r>
      <w:r w:rsidR="00B02696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FFFF00"/>
          <w:lang w:val="en-US"/>
        </w:rPr>
        <w:t>marks</w:t>
      </w:r>
    </w:p>
    <w:p w:rsidR="00A93A30" w:rsidRDefault="00405D02" w:rsidP="00405D02">
      <w:pPr>
        <w:pStyle w:val="ListParagraph"/>
        <w:numPr>
          <w:ilvl w:val="0"/>
          <w:numId w:val="16"/>
        </w:numPr>
        <w:spacing w:after="0"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 candidate demonstrates a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sound grasp of implicit meaning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and chooses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appropriate textual support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to develop claims (lines 65 – 68) </w:t>
      </w:r>
    </w:p>
    <w:p w:rsidR="004E33C5" w:rsidRDefault="004E33C5" w:rsidP="00405D02">
      <w:pPr>
        <w:pStyle w:val="ListParagraph"/>
        <w:numPr>
          <w:ilvl w:val="0"/>
          <w:numId w:val="16"/>
        </w:numPr>
        <w:spacing w:after="0" w:line="276" w:lineRule="auto"/>
        <w:ind w:left="709" w:hanging="425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There is some relevant consideration of the effects of language choice and symbolism but there is </w:t>
      </w:r>
      <w:r w:rsidRPr="008C7C9D">
        <w:rPr>
          <w:rFonts w:asciiTheme="majorHAnsi" w:hAnsiTheme="majorHAnsi" w:cstheme="majorHAnsi"/>
          <w:b/>
          <w:sz w:val="24"/>
          <w:szCs w:val="24"/>
          <w:lang w:val="en-US"/>
        </w:rPr>
        <w:t>scope for more detailed analysis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by ‘digging’ into quoted evidence. </w:t>
      </w:r>
    </w:p>
    <w:p w:rsidR="003F64C9" w:rsidRPr="003F64C9" w:rsidRDefault="003F64C9" w:rsidP="003F64C9">
      <w:pPr>
        <w:pStyle w:val="ListParagraph"/>
        <w:spacing w:after="0" w:line="276" w:lineRule="auto"/>
        <w:ind w:left="709"/>
        <w:rPr>
          <w:rFonts w:asciiTheme="majorHAnsi" w:hAnsiTheme="majorHAnsi" w:cstheme="majorHAnsi"/>
          <w:sz w:val="24"/>
          <w:szCs w:val="24"/>
          <w:lang w:val="en-US"/>
        </w:rPr>
      </w:pPr>
    </w:p>
    <w:p w:rsidR="00E07C53" w:rsidRPr="00BF6144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F6144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>AO3</w:t>
      </w:r>
      <w:r w:rsidR="005E2AFE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: </w:t>
      </w:r>
      <w:r w:rsidR="00317C25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>Low Band 5</w:t>
      </w:r>
      <w:r w:rsidR="00023AE0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 -</w:t>
      </w:r>
      <w:r w:rsidR="00046E23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 17</w:t>
      </w:r>
      <w:r w:rsidR="00160A1A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 </w:t>
      </w:r>
      <w:r w:rsidR="005E2AFE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FFFF"/>
          <w:lang w:val="en-US"/>
        </w:rPr>
        <w:t xml:space="preserve">marks </w:t>
      </w:r>
    </w:p>
    <w:p w:rsidR="00160A1A" w:rsidRPr="008C7C9D" w:rsidRDefault="004E33C5" w:rsidP="00E6762C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A range of c</w:t>
      </w:r>
      <w:r w:rsidR="00317C25">
        <w:rPr>
          <w:rFonts w:asciiTheme="majorHAnsi" w:hAnsiTheme="majorHAnsi" w:cstheme="majorHAnsi"/>
          <w:sz w:val="24"/>
          <w:szCs w:val="24"/>
          <w:lang w:val="en-US"/>
        </w:rPr>
        <w:t xml:space="preserve">ontextual references is considered and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generally </w:t>
      </w:r>
      <w:r w:rsidR="00317C25">
        <w:rPr>
          <w:rFonts w:asciiTheme="majorHAnsi" w:hAnsiTheme="majorHAnsi" w:cstheme="majorHAnsi"/>
          <w:b/>
          <w:sz w:val="24"/>
          <w:szCs w:val="24"/>
          <w:lang w:val="en-US"/>
        </w:rPr>
        <w:t>effectively</w:t>
      </w:r>
      <w:r w:rsidR="004E1BAF" w:rsidRPr="003C688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integrated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demonstrating 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solid</w:t>
      </w:r>
      <w:r w:rsidR="004E1BAF" w:rsidRPr="003C688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understanding of the</w:t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ir importance to both texts from the outset. </w:t>
      </w:r>
      <w:r w:rsidR="004E1BAF" w:rsidRPr="003C6882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>The candidate does well to keep a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>n</w:t>
      </w:r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 xml:space="preserve"> appropriate balance between text and context so that the focus is on AO2 and literary appreciation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 xml:space="preserve"> rather than using the novels to illustrate socio-political attitudes, a trap many candidates fall into with these </w:t>
      </w:r>
      <w:proofErr w:type="gramStart"/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>novels in particular</w:t>
      </w:r>
      <w:proofErr w:type="gramEnd"/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8635CA" w:rsidRPr="008C7C9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17C25" w:rsidRPr="008C7C9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C86F1C" w:rsidRPr="003F64C9" w:rsidRDefault="004E33C5" w:rsidP="00E07C53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The quality is a little uneven but the use of context is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always purposeful and secure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with some </w:t>
      </w:r>
      <w:r w:rsidR="00317C25" w:rsidRPr="00317C25">
        <w:rPr>
          <w:rFonts w:asciiTheme="majorHAnsi" w:hAnsiTheme="majorHAnsi" w:cstheme="majorHAnsi"/>
          <w:b/>
          <w:i/>
          <w:sz w:val="24"/>
          <w:szCs w:val="24"/>
          <w:lang w:val="en-US"/>
        </w:rPr>
        <w:t>glimmers of confident discussion</w:t>
      </w:r>
      <w:r w:rsidR="00317C25">
        <w:rPr>
          <w:rFonts w:asciiTheme="majorHAnsi" w:hAnsiTheme="majorHAnsi" w:cstheme="majorHAnsi"/>
          <w:sz w:val="24"/>
          <w:szCs w:val="24"/>
          <w:lang w:val="en-US"/>
        </w:rPr>
        <w:t>, especially in relation to the political and cultural background to Hosseini’s novel.</w:t>
      </w:r>
    </w:p>
    <w:p w:rsidR="00E07C53" w:rsidRPr="00BF6144" w:rsidRDefault="00E07C53" w:rsidP="00E07C53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604E9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>AO4</w:t>
      </w:r>
      <w:r w:rsidR="003712FF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: </w:t>
      </w:r>
      <w:r w:rsidR="00317C25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>High Band 4</w:t>
      </w:r>
      <w:r w:rsidR="00046E23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 - 8</w:t>
      </w:r>
      <w:r w:rsidR="00160A1A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 xml:space="preserve"> </w:t>
      </w:r>
      <w:r w:rsidR="003712FF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00CC00"/>
          <w:lang w:val="en-US"/>
        </w:rPr>
        <w:t>marks</w:t>
      </w:r>
    </w:p>
    <w:p w:rsidR="008C7C9D" w:rsidRPr="008C7C9D" w:rsidRDefault="003C6882" w:rsidP="008D4DBB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</w:t>
      </w:r>
      <w:r w:rsidR="008D4DBB">
        <w:rPr>
          <w:rFonts w:asciiTheme="majorHAnsi" w:hAnsiTheme="majorHAnsi" w:cstheme="majorHAnsi"/>
          <w:sz w:val="24"/>
          <w:szCs w:val="24"/>
          <w:lang w:val="en-US"/>
        </w:rPr>
        <w:t xml:space="preserve">e texts are </w:t>
      </w:r>
      <w:r w:rsidR="008D4DBB" w:rsidRPr="008C7C9D">
        <w:rPr>
          <w:rFonts w:asciiTheme="majorHAnsi" w:hAnsiTheme="majorHAnsi" w:cstheme="majorHAnsi"/>
          <w:b/>
          <w:sz w:val="24"/>
          <w:szCs w:val="24"/>
          <w:lang w:val="en-US"/>
        </w:rPr>
        <w:t>linked from the start</w:t>
      </w:r>
      <w:r w:rsidR="008D4DBB">
        <w:rPr>
          <w:rFonts w:asciiTheme="majorHAnsi" w:hAnsiTheme="majorHAnsi" w:cstheme="majorHAnsi"/>
          <w:sz w:val="24"/>
          <w:szCs w:val="24"/>
          <w:lang w:val="en-US"/>
        </w:rPr>
        <w:t xml:space="preserve"> in the opening paragraph and these are then developed in the main body as the backbone of the essay. </w:t>
      </w:r>
    </w:p>
    <w:p w:rsidR="008D4DBB" w:rsidRPr="008D4DBB" w:rsidRDefault="008D4DBB" w:rsidP="008D4DBB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There are 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 xml:space="preserve">explicit, generally </w:t>
      </w:r>
      <w:r w:rsidR="008C7C9D"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sound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>links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(lines 124 – 128; 196-7)</w:t>
      </w:r>
      <w:r w:rsidR="00CD7E8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and there are some well-developed,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purposeful connections</w:t>
      </w:r>
      <w:r>
        <w:rPr>
          <w:rFonts w:asciiTheme="majorHAnsi" w:hAnsiTheme="majorHAnsi" w:cstheme="majorHAnsi"/>
          <w:sz w:val="24"/>
          <w:szCs w:val="24"/>
          <w:lang w:val="en-US"/>
        </w:rPr>
        <w:t>, especially in lines 60 –</w:t>
      </w:r>
      <w:r w:rsidR="008C7C9D">
        <w:rPr>
          <w:rFonts w:asciiTheme="majorHAnsi" w:hAnsiTheme="majorHAnsi" w:cstheme="majorHAnsi"/>
          <w:sz w:val="24"/>
          <w:szCs w:val="24"/>
          <w:lang w:val="en-US"/>
        </w:rPr>
        <w:t xml:space="preserve"> 68.</w:t>
      </w:r>
    </w:p>
    <w:p w:rsidR="008D4DBB" w:rsidRPr="008D4DBB" w:rsidRDefault="008D4DBB" w:rsidP="008D4DBB">
      <w:pPr>
        <w:pStyle w:val="ListParagraph"/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07C53" w:rsidRPr="008D4DBB" w:rsidRDefault="00E07C53" w:rsidP="008D4DB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D4DBB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>AO5</w:t>
      </w:r>
      <w:r w:rsidR="00743A6A" w:rsidRPr="008D4DBB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: </w:t>
      </w:r>
      <w:r w:rsidR="00160A1A" w:rsidRPr="008D4DBB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 </w:t>
      </w:r>
      <w:r w:rsidR="00046E23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>Band 5 – 9</w:t>
      </w:r>
      <w:r w:rsidR="0011127B" w:rsidRPr="008D4DBB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 </w:t>
      </w:r>
      <w:r w:rsidR="00160A1A" w:rsidRPr="008D4DBB">
        <w:rPr>
          <w:rFonts w:asciiTheme="majorHAnsi" w:hAnsiTheme="majorHAnsi" w:cstheme="majorHAnsi"/>
          <w:b/>
          <w:sz w:val="24"/>
          <w:szCs w:val="24"/>
          <w:bdr w:val="single" w:sz="4" w:space="0" w:color="auto"/>
          <w:shd w:val="clear" w:color="auto" w:fill="CC00CC"/>
          <w:lang w:val="en-US"/>
        </w:rPr>
        <w:t xml:space="preserve">marks  </w:t>
      </w:r>
    </w:p>
    <w:p w:rsidR="00160A1A" w:rsidRDefault="008C7C9D" w:rsidP="00CD7E8D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There is</w:t>
      </w:r>
      <w:r w:rsidR="008D4DB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D4DBB"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purposeful and sound use of other views</w:t>
      </w:r>
      <w:r w:rsidR="008D4DBB">
        <w:rPr>
          <w:rFonts w:asciiTheme="majorHAnsi" w:hAnsiTheme="majorHAnsi" w:cstheme="majorHAnsi"/>
          <w:sz w:val="24"/>
          <w:szCs w:val="24"/>
          <w:lang w:val="en-US"/>
        </w:rPr>
        <w:t xml:space="preserve"> at key points in the argument </w:t>
      </w:r>
      <w:r w:rsidR="00CD7E8D">
        <w:rPr>
          <w:rFonts w:asciiTheme="majorHAnsi" w:hAnsiTheme="majorHAnsi" w:cstheme="majorHAnsi"/>
          <w:sz w:val="24"/>
          <w:szCs w:val="24"/>
          <w:lang w:val="en-US"/>
        </w:rPr>
        <w:t>used to support the candidate’s own interpretation.</w:t>
      </w:r>
    </w:p>
    <w:p w:rsidR="00CD7E8D" w:rsidRDefault="00CD7E8D" w:rsidP="00CD7E8D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There are also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some </w:t>
      </w:r>
      <w:r w:rsidR="008C7C9D"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useful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attempts at discussion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of other readers’ views, </w:t>
      </w:r>
      <w:r w:rsidRPr="008C7C9D">
        <w:rPr>
          <w:rFonts w:asciiTheme="majorHAnsi" w:hAnsiTheme="majorHAnsi" w:cstheme="majorHAnsi"/>
          <w:b/>
          <w:i/>
          <w:sz w:val="24"/>
          <w:szCs w:val="24"/>
          <w:lang w:val="en-US"/>
        </w:rPr>
        <w:t>quite confidently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in lines 24 – 8 and 122 -126, but less convincingly in the more assertive claims at the top of page 5.</w:t>
      </w:r>
    </w:p>
    <w:p w:rsidR="00CD7E8D" w:rsidRPr="00CD7E8D" w:rsidRDefault="00CD7E8D" w:rsidP="00CD7E8D">
      <w:pPr>
        <w:pStyle w:val="ListParagraph"/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This engagement with alternative views means that a mark just inside Band 5 would be appropriate.</w:t>
      </w:r>
    </w:p>
    <w:p w:rsidR="00CD7E8D" w:rsidRPr="00160A1A" w:rsidRDefault="00CD7E8D" w:rsidP="00160A1A">
      <w:pPr>
        <w:pStyle w:val="ListParagraph"/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3F64C9" w:rsidRDefault="00677564" w:rsidP="0006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Theme="majorHAnsi" w:hAnsiTheme="majorHAnsi" w:cstheme="majorHAnsi"/>
          <w:b/>
          <w:color w:val="FFC000"/>
          <w:sz w:val="28"/>
          <w:szCs w:val="28"/>
          <w:lang w:val="en-US"/>
        </w:rPr>
      </w:pPr>
      <w:r w:rsidRPr="00060E6A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TOTAL MARKS:</w:t>
      </w:r>
      <w:r w:rsidR="00BD7AF7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  <w:r w:rsidR="00046E23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63</w:t>
      </w:r>
    </w:p>
    <w:p w:rsidR="003F64C9" w:rsidRDefault="003F64C9" w:rsidP="003F64C9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77564" w:rsidRPr="003F64C9" w:rsidRDefault="003F64C9" w:rsidP="003F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275"/>
        </w:tabs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NB: </w:t>
      </w:r>
      <w:r w:rsidR="00CD7E8D">
        <w:rPr>
          <w:rFonts w:asciiTheme="majorHAnsi" w:hAnsiTheme="majorHAnsi" w:cstheme="majorHAnsi"/>
          <w:b/>
          <w:sz w:val="24"/>
          <w:szCs w:val="24"/>
          <w:lang w:val="en-US"/>
        </w:rPr>
        <w:t xml:space="preserve">The </w:t>
      </w:r>
      <w:proofErr w:type="spellStart"/>
      <w:r w:rsidR="00CD7E8D">
        <w:rPr>
          <w:rFonts w:asciiTheme="majorHAnsi" w:hAnsiTheme="majorHAnsi" w:cstheme="majorHAnsi"/>
          <w:b/>
          <w:sz w:val="24"/>
          <w:szCs w:val="24"/>
          <w:lang w:val="en-US"/>
        </w:rPr>
        <w:t>centre’s</w:t>
      </w:r>
      <w:proofErr w:type="spellEnd"/>
      <w:r w:rsidR="00CD7E8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detailed and focused annotation is </w:t>
      </w:r>
      <w:r w:rsidR="00B65245">
        <w:rPr>
          <w:rFonts w:asciiTheme="majorHAnsi" w:hAnsiTheme="majorHAnsi" w:cstheme="majorHAnsi"/>
          <w:b/>
          <w:sz w:val="24"/>
          <w:szCs w:val="24"/>
          <w:lang w:val="en-US"/>
        </w:rPr>
        <w:t>evidence of very good practice</w:t>
      </w:r>
      <w:r w:rsidR="00CD7E8D">
        <w:rPr>
          <w:rFonts w:asciiTheme="majorHAnsi" w:hAnsiTheme="majorHAnsi" w:cstheme="majorHAnsi"/>
          <w:b/>
          <w:sz w:val="24"/>
          <w:szCs w:val="24"/>
          <w:lang w:val="en-US"/>
        </w:rPr>
        <w:t>, showing clearly in the dialogue between markers how decisions have been reached. The assessment is well-judged, fair and closely linked to the criteria and its accuracy is helped by a willingness to identify relative weaknesses as well as quite rightly highlighting strengths.</w:t>
      </w:r>
      <w:r w:rsidR="008C7C9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The summative comments at the end make clear that this is a sound, rather than a sophisticated, response</w:t>
      </w:r>
      <w:r w:rsidR="0090151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placing the candidate securely in Band 4 overall.</w:t>
      </w:r>
    </w:p>
    <w:sectPr w:rsidR="00677564" w:rsidRPr="003F64C9" w:rsidSect="006F1269">
      <w:pgSz w:w="11906" w:h="16838"/>
      <w:pgMar w:top="567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4C6"/>
    <w:multiLevelType w:val="hybridMultilevel"/>
    <w:tmpl w:val="8FD0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E28"/>
    <w:multiLevelType w:val="hybridMultilevel"/>
    <w:tmpl w:val="3D28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B29"/>
    <w:multiLevelType w:val="hybridMultilevel"/>
    <w:tmpl w:val="523C58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26882"/>
    <w:multiLevelType w:val="hybridMultilevel"/>
    <w:tmpl w:val="3F22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A1A"/>
    <w:multiLevelType w:val="hybridMultilevel"/>
    <w:tmpl w:val="E048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9AE"/>
    <w:multiLevelType w:val="hybridMultilevel"/>
    <w:tmpl w:val="C842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33FC"/>
    <w:multiLevelType w:val="hybridMultilevel"/>
    <w:tmpl w:val="A0F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F9A"/>
    <w:multiLevelType w:val="hybridMultilevel"/>
    <w:tmpl w:val="7B92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C22"/>
    <w:multiLevelType w:val="hybridMultilevel"/>
    <w:tmpl w:val="26BC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C10D4"/>
    <w:multiLevelType w:val="hybridMultilevel"/>
    <w:tmpl w:val="9D58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3C8"/>
    <w:multiLevelType w:val="hybridMultilevel"/>
    <w:tmpl w:val="8086F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9902F8"/>
    <w:multiLevelType w:val="hybridMultilevel"/>
    <w:tmpl w:val="DDF8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3CF"/>
    <w:multiLevelType w:val="hybridMultilevel"/>
    <w:tmpl w:val="7A6E66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530B"/>
    <w:multiLevelType w:val="hybridMultilevel"/>
    <w:tmpl w:val="42FE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7557"/>
    <w:multiLevelType w:val="hybridMultilevel"/>
    <w:tmpl w:val="D4C0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45EC1"/>
    <w:multiLevelType w:val="hybridMultilevel"/>
    <w:tmpl w:val="3E28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F06B03"/>
    <w:multiLevelType w:val="hybridMultilevel"/>
    <w:tmpl w:val="2BE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77805"/>
    <w:multiLevelType w:val="hybridMultilevel"/>
    <w:tmpl w:val="5B52D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C72AB"/>
    <w:multiLevelType w:val="hybridMultilevel"/>
    <w:tmpl w:val="CF3C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0"/>
    <w:rsid w:val="00023AE0"/>
    <w:rsid w:val="00046E23"/>
    <w:rsid w:val="00047877"/>
    <w:rsid w:val="000604E9"/>
    <w:rsid w:val="00060E6A"/>
    <w:rsid w:val="00096EA7"/>
    <w:rsid w:val="000A75EA"/>
    <w:rsid w:val="000D766A"/>
    <w:rsid w:val="00101238"/>
    <w:rsid w:val="0011127B"/>
    <w:rsid w:val="00123FF3"/>
    <w:rsid w:val="00160A1A"/>
    <w:rsid w:val="00171DDB"/>
    <w:rsid w:val="00173298"/>
    <w:rsid w:val="00187C79"/>
    <w:rsid w:val="001A1596"/>
    <w:rsid w:val="001D5579"/>
    <w:rsid w:val="00243698"/>
    <w:rsid w:val="002725F0"/>
    <w:rsid w:val="00284330"/>
    <w:rsid w:val="00290564"/>
    <w:rsid w:val="002B3A7C"/>
    <w:rsid w:val="00317C25"/>
    <w:rsid w:val="00332335"/>
    <w:rsid w:val="00350DDB"/>
    <w:rsid w:val="003568FB"/>
    <w:rsid w:val="00357F51"/>
    <w:rsid w:val="003712FF"/>
    <w:rsid w:val="003B5D83"/>
    <w:rsid w:val="003C6882"/>
    <w:rsid w:val="003D6F0A"/>
    <w:rsid w:val="003E03FE"/>
    <w:rsid w:val="003E1DA5"/>
    <w:rsid w:val="003F64C9"/>
    <w:rsid w:val="00405D02"/>
    <w:rsid w:val="004168B0"/>
    <w:rsid w:val="0042236F"/>
    <w:rsid w:val="00430084"/>
    <w:rsid w:val="004569DA"/>
    <w:rsid w:val="004E1BAF"/>
    <w:rsid w:val="004E33C5"/>
    <w:rsid w:val="004F0B53"/>
    <w:rsid w:val="005C69FD"/>
    <w:rsid w:val="005D1290"/>
    <w:rsid w:val="005E2AFE"/>
    <w:rsid w:val="0060126E"/>
    <w:rsid w:val="0066350C"/>
    <w:rsid w:val="00677564"/>
    <w:rsid w:val="00686B72"/>
    <w:rsid w:val="006C63E3"/>
    <w:rsid w:val="006F1269"/>
    <w:rsid w:val="00741CE2"/>
    <w:rsid w:val="00743A6A"/>
    <w:rsid w:val="007855DF"/>
    <w:rsid w:val="007C40A7"/>
    <w:rsid w:val="007F5A58"/>
    <w:rsid w:val="00837173"/>
    <w:rsid w:val="008548AA"/>
    <w:rsid w:val="008635CA"/>
    <w:rsid w:val="008C794B"/>
    <w:rsid w:val="008C7C9D"/>
    <w:rsid w:val="008D4DBB"/>
    <w:rsid w:val="0090151A"/>
    <w:rsid w:val="00911DAC"/>
    <w:rsid w:val="00941D14"/>
    <w:rsid w:val="00942E3E"/>
    <w:rsid w:val="0096127A"/>
    <w:rsid w:val="00981368"/>
    <w:rsid w:val="009929AF"/>
    <w:rsid w:val="00A02C5F"/>
    <w:rsid w:val="00A8605A"/>
    <w:rsid w:val="00A93A30"/>
    <w:rsid w:val="00B02696"/>
    <w:rsid w:val="00B400EA"/>
    <w:rsid w:val="00B40B11"/>
    <w:rsid w:val="00B47BF8"/>
    <w:rsid w:val="00B65245"/>
    <w:rsid w:val="00BD7AF7"/>
    <w:rsid w:val="00BF6144"/>
    <w:rsid w:val="00C252B8"/>
    <w:rsid w:val="00C453B8"/>
    <w:rsid w:val="00C77ACD"/>
    <w:rsid w:val="00C86F1C"/>
    <w:rsid w:val="00CC20EF"/>
    <w:rsid w:val="00CD7E8D"/>
    <w:rsid w:val="00D03F60"/>
    <w:rsid w:val="00D127AD"/>
    <w:rsid w:val="00D613C0"/>
    <w:rsid w:val="00D72DE0"/>
    <w:rsid w:val="00D83595"/>
    <w:rsid w:val="00D91E3D"/>
    <w:rsid w:val="00DB0411"/>
    <w:rsid w:val="00DB13C7"/>
    <w:rsid w:val="00E03537"/>
    <w:rsid w:val="00E07C53"/>
    <w:rsid w:val="00E32F5E"/>
    <w:rsid w:val="00E6301C"/>
    <w:rsid w:val="00E64DA5"/>
    <w:rsid w:val="00E6762C"/>
    <w:rsid w:val="00EB4C16"/>
    <w:rsid w:val="00F037B8"/>
    <w:rsid w:val="00F254B6"/>
    <w:rsid w:val="00F37990"/>
    <w:rsid w:val="00F77B36"/>
    <w:rsid w:val="00FB5B74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0B63-AC0C-4933-BF4D-2300C57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04475E7D-E331-430B-9952-393123451207}"/>
</file>

<file path=customXml/itemProps2.xml><?xml version="1.0" encoding="utf-8"?>
<ds:datastoreItem xmlns:ds="http://schemas.openxmlformats.org/officeDocument/2006/customXml" ds:itemID="{24A35956-68E2-4770-8753-AB39E99BD800}"/>
</file>

<file path=customXml/itemProps3.xml><?xml version="1.0" encoding="utf-8"?>
<ds:datastoreItem xmlns:ds="http://schemas.openxmlformats.org/officeDocument/2006/customXml" ds:itemID="{96B643D7-87AD-4117-8CE2-196F798D6BBF}"/>
</file>

<file path=customXml/itemProps4.xml><?xml version="1.0" encoding="utf-8"?>
<ds:datastoreItem xmlns:ds="http://schemas.openxmlformats.org/officeDocument/2006/customXml" ds:itemID="{1954478B-7DD9-42D2-ACED-A876332E8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Hancock</dc:creator>
  <cp:keywords/>
  <dc:description/>
  <cp:lastModifiedBy>Les Hancock</cp:lastModifiedBy>
  <cp:revision>2</cp:revision>
  <cp:lastPrinted>2017-08-28T11:15:00Z</cp:lastPrinted>
  <dcterms:created xsi:type="dcterms:W3CDTF">2017-09-24T15:56:00Z</dcterms:created>
  <dcterms:modified xsi:type="dcterms:W3CDTF">2017-09-24T15:56:00Z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