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D3" w:rsidRPr="004D70D3" w:rsidRDefault="004D70D3" w:rsidP="004D70D3">
      <w:pPr>
        <w:spacing w:before="120" w:after="120"/>
        <w:rPr>
          <w:rFonts w:ascii="Arial" w:hAnsi="Arial" w:cs="Arial"/>
          <w:b/>
        </w:rPr>
      </w:pPr>
      <w:r w:rsidRPr="004D70D3">
        <w:rPr>
          <w:rFonts w:ascii="Arial" w:hAnsi="Arial" w:cs="Arial"/>
          <w:b/>
          <w:color w:val="00B0F0"/>
        </w:rPr>
        <w:t xml:space="preserve">APPENDIX </w:t>
      </w:r>
      <w:proofErr w:type="gramStart"/>
      <w:r w:rsidRPr="004D70D3">
        <w:rPr>
          <w:rFonts w:ascii="Arial" w:hAnsi="Arial" w:cs="Arial"/>
          <w:b/>
          <w:color w:val="00B0F0"/>
        </w:rPr>
        <w:t>A</w:t>
      </w:r>
      <w:proofErr w:type="gramEnd"/>
      <w:r w:rsidRPr="004D70D3">
        <w:rPr>
          <w:rFonts w:ascii="Arial" w:hAnsi="Arial" w:cs="Arial"/>
          <w:b/>
          <w:color w:val="00B0F0"/>
        </w:rPr>
        <w:t xml:space="preserve"> </w:t>
      </w:r>
      <w:r w:rsidRPr="004D70D3">
        <w:rPr>
          <w:rFonts w:ascii="Arial" w:hAnsi="Arial" w:cs="Arial"/>
          <w:b/>
        </w:rPr>
        <w:t xml:space="preserve">Use of mathematics and statistics in geography </w:t>
      </w:r>
    </w:p>
    <w:p w:rsidR="004D70D3" w:rsidRPr="007A5F1E" w:rsidRDefault="004D70D3" w:rsidP="004D70D3">
      <w:pPr>
        <w:spacing w:before="120" w:after="120"/>
        <w:rPr>
          <w:rFonts w:ascii="Arial" w:hAnsi="Arial" w:cs="Arial"/>
          <w:b/>
        </w:rPr>
      </w:pPr>
      <w:r w:rsidRPr="007A5F1E">
        <w:rPr>
          <w:rFonts w:ascii="Arial" w:hAnsi="Arial" w:cs="Arial"/>
          <w:b/>
        </w:rPr>
        <w:t>Identifying weaknesses in statistical presentation of data</w:t>
      </w:r>
    </w:p>
    <w:p w:rsidR="004D70D3" w:rsidRDefault="004D70D3" w:rsidP="004D70D3">
      <w:pPr>
        <w:spacing w:before="120" w:after="120"/>
        <w:rPr>
          <w:rFonts w:ascii="Arial" w:hAnsi="Arial" w:cs="Arial"/>
        </w:rPr>
      </w:pPr>
      <w:r>
        <w:rPr>
          <w:rFonts w:ascii="Arial" w:hAnsi="Arial" w:cs="Arial"/>
        </w:rPr>
        <w:t>Students should be aware of the s</w:t>
      </w:r>
      <w:bookmarkStart w:id="0" w:name="_GoBack"/>
      <w:bookmarkEnd w:id="0"/>
      <w:r>
        <w:rPr>
          <w:rFonts w:ascii="Arial" w:hAnsi="Arial" w:cs="Arial"/>
        </w:rPr>
        <w:t>trengths and weaknesses of the presentational technique</w:t>
      </w:r>
      <w:r>
        <w:rPr>
          <w:rFonts w:ascii="Arial" w:hAnsi="Arial" w:cs="Arial"/>
        </w:rPr>
        <w:t>s that are described on pages 33-34</w:t>
      </w:r>
      <w:r>
        <w:rPr>
          <w:rFonts w:ascii="Arial" w:hAnsi="Arial" w:cs="Arial"/>
        </w:rPr>
        <w:t xml:space="preserve"> of the specification. Some of these are suggested in the table below – students could be encouraged to extend this understanding.</w:t>
      </w:r>
    </w:p>
    <w:tbl>
      <w:tblPr>
        <w:tblStyle w:val="TableGrid"/>
        <w:tblW w:w="0" w:type="auto"/>
        <w:tblLook w:val="04A0" w:firstRow="1" w:lastRow="0" w:firstColumn="1" w:lastColumn="0" w:noHBand="0" w:noVBand="1"/>
      </w:tblPr>
      <w:tblGrid>
        <w:gridCol w:w="1295"/>
        <w:gridCol w:w="3916"/>
        <w:gridCol w:w="4031"/>
      </w:tblGrid>
      <w:tr w:rsidR="004D70D3" w:rsidTr="0058729C">
        <w:tc>
          <w:tcPr>
            <w:tcW w:w="1295" w:type="dxa"/>
          </w:tcPr>
          <w:p w:rsidR="004D70D3" w:rsidRPr="009301E3" w:rsidRDefault="004D70D3" w:rsidP="0058729C">
            <w:pPr>
              <w:spacing w:before="60" w:after="60"/>
              <w:rPr>
                <w:rFonts w:ascii="Arial" w:hAnsi="Arial" w:cs="Arial"/>
                <w:b/>
              </w:rPr>
            </w:pPr>
            <w:r w:rsidRPr="009301E3">
              <w:rPr>
                <w:rFonts w:ascii="Arial" w:hAnsi="Arial" w:cs="Arial"/>
                <w:b/>
              </w:rPr>
              <w:t>technique</w:t>
            </w:r>
          </w:p>
        </w:tc>
        <w:tc>
          <w:tcPr>
            <w:tcW w:w="3916" w:type="dxa"/>
          </w:tcPr>
          <w:p w:rsidR="004D70D3" w:rsidRPr="009301E3" w:rsidRDefault="004D70D3" w:rsidP="0058729C">
            <w:pPr>
              <w:spacing w:before="60" w:after="60"/>
              <w:jc w:val="center"/>
              <w:rPr>
                <w:rFonts w:ascii="Arial" w:hAnsi="Arial" w:cs="Arial"/>
                <w:b/>
              </w:rPr>
            </w:pPr>
            <w:r w:rsidRPr="009301E3">
              <w:rPr>
                <w:rFonts w:ascii="Arial" w:hAnsi="Arial" w:cs="Arial"/>
                <w:b/>
              </w:rPr>
              <w:t>strengths</w:t>
            </w:r>
          </w:p>
        </w:tc>
        <w:tc>
          <w:tcPr>
            <w:tcW w:w="4031" w:type="dxa"/>
          </w:tcPr>
          <w:p w:rsidR="004D70D3" w:rsidRPr="009301E3" w:rsidRDefault="004D70D3" w:rsidP="0058729C">
            <w:pPr>
              <w:spacing w:before="60" w:after="60"/>
              <w:jc w:val="center"/>
              <w:rPr>
                <w:rFonts w:ascii="Arial" w:hAnsi="Arial" w:cs="Arial"/>
                <w:b/>
              </w:rPr>
            </w:pPr>
            <w:r w:rsidRPr="009301E3">
              <w:rPr>
                <w:rFonts w:ascii="Arial" w:hAnsi="Arial" w:cs="Arial"/>
                <w:b/>
              </w:rPr>
              <w:t>weaknesses</w:t>
            </w:r>
          </w:p>
        </w:tc>
      </w:tr>
      <w:tr w:rsidR="004D70D3" w:rsidTr="0058729C">
        <w:tc>
          <w:tcPr>
            <w:tcW w:w="1295" w:type="dxa"/>
          </w:tcPr>
          <w:p w:rsidR="004D70D3" w:rsidRPr="009301E3" w:rsidRDefault="004D70D3" w:rsidP="0058729C">
            <w:pPr>
              <w:pStyle w:val="Header"/>
              <w:tabs>
                <w:tab w:val="clear" w:pos="4513"/>
                <w:tab w:val="clear" w:pos="9026"/>
              </w:tabs>
              <w:spacing w:before="60" w:after="60"/>
              <w:rPr>
                <w:rFonts w:ascii="Arial" w:hAnsi="Arial" w:cs="Arial"/>
                <w:sz w:val="20"/>
              </w:rPr>
            </w:pPr>
            <w:r w:rsidRPr="009301E3">
              <w:rPr>
                <w:rFonts w:ascii="Arial" w:hAnsi="Arial" w:cs="Arial"/>
                <w:sz w:val="20"/>
              </w:rPr>
              <w:t>Bar charts</w:t>
            </w:r>
          </w:p>
        </w:tc>
        <w:tc>
          <w:tcPr>
            <w:tcW w:w="3916" w:type="dxa"/>
          </w:tcPr>
          <w:p w:rsidR="004D70D3" w:rsidRPr="009301E3" w:rsidRDefault="004D70D3" w:rsidP="0058729C">
            <w:pPr>
              <w:spacing w:before="60" w:after="60"/>
              <w:rPr>
                <w:rFonts w:ascii="Arial" w:hAnsi="Arial" w:cs="Arial"/>
                <w:sz w:val="20"/>
              </w:rPr>
            </w:pPr>
            <w:r w:rsidRPr="009301E3">
              <w:rPr>
                <w:rFonts w:ascii="Arial" w:hAnsi="Arial" w:cs="Arial"/>
                <w:sz w:val="20"/>
              </w:rPr>
              <w:t>Simple to construct and read</w:t>
            </w:r>
            <w:r>
              <w:rPr>
                <w:rFonts w:ascii="Arial" w:hAnsi="Arial" w:cs="Arial"/>
                <w:sz w:val="20"/>
              </w:rPr>
              <w:t xml:space="preserve">. Effective for showing discrete (non-continuous) data, for example, </w:t>
            </w:r>
            <w:proofErr w:type="spellStart"/>
            <w:r>
              <w:rPr>
                <w:rFonts w:ascii="Arial" w:hAnsi="Arial" w:cs="Arial"/>
                <w:sz w:val="20"/>
              </w:rPr>
              <w:t>GNI</w:t>
            </w:r>
            <w:proofErr w:type="spellEnd"/>
            <w:r>
              <w:rPr>
                <w:rFonts w:ascii="Arial" w:hAnsi="Arial" w:cs="Arial"/>
                <w:sz w:val="20"/>
              </w:rPr>
              <w:t xml:space="preserve"> in selected countries.</w:t>
            </w:r>
          </w:p>
        </w:tc>
        <w:tc>
          <w:tcPr>
            <w:tcW w:w="4031" w:type="dxa"/>
          </w:tcPr>
          <w:p w:rsidR="004D70D3" w:rsidRDefault="004D70D3" w:rsidP="0058729C">
            <w:pPr>
              <w:spacing w:before="60" w:after="60"/>
              <w:rPr>
                <w:rFonts w:ascii="Arial" w:hAnsi="Arial" w:cs="Arial"/>
                <w:sz w:val="20"/>
              </w:rPr>
            </w:pPr>
            <w:r>
              <w:rPr>
                <w:rFonts w:ascii="Arial" w:hAnsi="Arial" w:cs="Arial"/>
                <w:sz w:val="20"/>
              </w:rPr>
              <w:t>Can be difficult to represent data that covers a very large range.</w:t>
            </w:r>
          </w:p>
          <w:p w:rsidR="004D70D3" w:rsidRPr="009301E3" w:rsidRDefault="004D70D3" w:rsidP="0058729C">
            <w:pPr>
              <w:spacing w:before="60" w:after="60"/>
              <w:rPr>
                <w:rFonts w:ascii="Arial" w:hAnsi="Arial" w:cs="Arial"/>
                <w:sz w:val="20"/>
              </w:rPr>
            </w:pP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t>Line graphs</w:t>
            </w:r>
          </w:p>
        </w:tc>
        <w:tc>
          <w:tcPr>
            <w:tcW w:w="3916" w:type="dxa"/>
          </w:tcPr>
          <w:p w:rsidR="004D70D3" w:rsidRPr="009301E3" w:rsidRDefault="004D70D3" w:rsidP="0058729C">
            <w:pPr>
              <w:spacing w:before="60" w:after="60"/>
              <w:rPr>
                <w:rFonts w:ascii="Arial" w:hAnsi="Arial" w:cs="Arial"/>
                <w:sz w:val="20"/>
              </w:rPr>
            </w:pPr>
            <w:r w:rsidRPr="009301E3">
              <w:rPr>
                <w:rFonts w:ascii="Arial" w:hAnsi="Arial" w:cs="Arial"/>
                <w:sz w:val="20"/>
              </w:rPr>
              <w:t>Simple to construct and read</w:t>
            </w:r>
            <w:r>
              <w:rPr>
                <w:rFonts w:ascii="Arial" w:hAnsi="Arial" w:cs="Arial"/>
                <w:sz w:val="20"/>
              </w:rPr>
              <w:t>. Effective for showing continuous data, for example, temperature readings on a climate chart.</w:t>
            </w:r>
          </w:p>
        </w:tc>
        <w:tc>
          <w:tcPr>
            <w:tcW w:w="4031" w:type="dxa"/>
          </w:tcPr>
          <w:p w:rsidR="004D70D3" w:rsidRDefault="004D70D3" w:rsidP="0058729C">
            <w:pPr>
              <w:spacing w:before="60" w:after="60"/>
              <w:rPr>
                <w:rFonts w:ascii="Arial" w:hAnsi="Arial" w:cs="Arial"/>
                <w:sz w:val="20"/>
              </w:rPr>
            </w:pPr>
            <w:r>
              <w:rPr>
                <w:rFonts w:ascii="Arial" w:hAnsi="Arial" w:cs="Arial"/>
                <w:sz w:val="20"/>
              </w:rPr>
              <w:t>Can be difficult to construct and read if values are large and the variation in data is relatively small and accuracy is required.</w:t>
            </w:r>
          </w:p>
          <w:p w:rsidR="004D70D3" w:rsidRPr="009301E3" w:rsidRDefault="004D70D3" w:rsidP="0058729C">
            <w:pPr>
              <w:spacing w:before="60" w:after="60"/>
              <w:rPr>
                <w:rFonts w:ascii="Arial" w:hAnsi="Arial" w:cs="Arial"/>
                <w:sz w:val="20"/>
              </w:rPr>
            </w:pPr>
            <w:r>
              <w:rPr>
                <w:rFonts w:ascii="Arial" w:hAnsi="Arial" w:cs="Arial"/>
                <w:sz w:val="20"/>
              </w:rPr>
              <w:t>Not suitable for data that is discrete.</w:t>
            </w: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t>Pie charts</w:t>
            </w:r>
          </w:p>
        </w:tc>
        <w:tc>
          <w:tcPr>
            <w:tcW w:w="3916" w:type="dxa"/>
          </w:tcPr>
          <w:p w:rsidR="004D70D3" w:rsidRPr="009301E3" w:rsidRDefault="004D70D3" w:rsidP="0058729C">
            <w:pPr>
              <w:spacing w:before="60" w:after="60"/>
              <w:rPr>
                <w:rFonts w:ascii="Arial" w:hAnsi="Arial" w:cs="Arial"/>
                <w:sz w:val="20"/>
              </w:rPr>
            </w:pPr>
            <w:r>
              <w:rPr>
                <w:rFonts w:ascii="Arial" w:hAnsi="Arial" w:cs="Arial"/>
                <w:sz w:val="20"/>
              </w:rPr>
              <w:t>Visually effective for representing percentages of the whole and for making comparisons between two or more pie charts.</w:t>
            </w:r>
          </w:p>
        </w:tc>
        <w:tc>
          <w:tcPr>
            <w:tcW w:w="4031" w:type="dxa"/>
          </w:tcPr>
          <w:p w:rsidR="004D70D3" w:rsidRPr="009301E3" w:rsidRDefault="004D70D3" w:rsidP="0058729C">
            <w:pPr>
              <w:spacing w:before="60" w:after="60"/>
              <w:rPr>
                <w:rFonts w:ascii="Arial" w:hAnsi="Arial" w:cs="Arial"/>
                <w:sz w:val="20"/>
              </w:rPr>
            </w:pPr>
            <w:r>
              <w:rPr>
                <w:rFonts w:ascii="Arial" w:hAnsi="Arial" w:cs="Arial"/>
                <w:sz w:val="20"/>
              </w:rPr>
              <w:t>Difficult to read values from pie charts with accuracy. Not particularly effective when there are a large number of small sectors in each pie.</w:t>
            </w: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t>Scatter graphs</w:t>
            </w:r>
          </w:p>
        </w:tc>
        <w:tc>
          <w:tcPr>
            <w:tcW w:w="3916" w:type="dxa"/>
          </w:tcPr>
          <w:p w:rsidR="004D70D3" w:rsidRDefault="004D70D3" w:rsidP="0058729C">
            <w:pPr>
              <w:spacing w:before="60" w:after="60"/>
              <w:rPr>
                <w:rFonts w:ascii="Arial" w:hAnsi="Arial" w:cs="Arial"/>
                <w:sz w:val="20"/>
              </w:rPr>
            </w:pPr>
            <w:r>
              <w:rPr>
                <w:rFonts w:ascii="Arial" w:hAnsi="Arial" w:cs="Arial"/>
                <w:sz w:val="20"/>
              </w:rPr>
              <w:t>Visually effective for representing the relationships (correlations) in bivariate data where one variable is dependent on the other.</w:t>
            </w:r>
          </w:p>
          <w:p w:rsidR="004D70D3" w:rsidRPr="009301E3" w:rsidRDefault="004D70D3" w:rsidP="0058729C">
            <w:pPr>
              <w:spacing w:before="60" w:after="60"/>
              <w:rPr>
                <w:rFonts w:ascii="Arial" w:hAnsi="Arial" w:cs="Arial"/>
                <w:sz w:val="20"/>
              </w:rPr>
            </w:pPr>
            <w:r>
              <w:rPr>
                <w:rFonts w:ascii="Arial" w:hAnsi="Arial" w:cs="Arial"/>
                <w:sz w:val="20"/>
              </w:rPr>
              <w:t>Closeness of the scatter points to a line of best fit gives some visual indication of the degree of dependency (or strength of correlation) between the variables.</w:t>
            </w:r>
          </w:p>
        </w:tc>
        <w:tc>
          <w:tcPr>
            <w:tcW w:w="4031" w:type="dxa"/>
          </w:tcPr>
          <w:p w:rsidR="004D70D3" w:rsidRDefault="004D70D3" w:rsidP="0058729C">
            <w:pPr>
              <w:spacing w:before="60" w:after="60"/>
              <w:rPr>
                <w:rFonts w:ascii="Arial" w:hAnsi="Arial" w:cs="Arial"/>
                <w:sz w:val="20"/>
              </w:rPr>
            </w:pPr>
            <w:r>
              <w:rPr>
                <w:rFonts w:ascii="Arial" w:hAnsi="Arial" w:cs="Arial"/>
                <w:sz w:val="20"/>
              </w:rPr>
              <w:t xml:space="preserve">Can be difficult to determine whether relationships are positive or negative if the scatter points are not close to a line of best fit or if each axis is significantly different in length. </w:t>
            </w:r>
          </w:p>
          <w:p w:rsidR="004D70D3" w:rsidRPr="009301E3" w:rsidRDefault="004D70D3" w:rsidP="0058729C">
            <w:pPr>
              <w:spacing w:before="60" w:after="60"/>
              <w:rPr>
                <w:rFonts w:ascii="Arial" w:hAnsi="Arial" w:cs="Arial"/>
                <w:sz w:val="20"/>
              </w:rPr>
            </w:pPr>
            <w:r>
              <w:rPr>
                <w:rFonts w:ascii="Arial" w:hAnsi="Arial" w:cs="Arial"/>
                <w:sz w:val="20"/>
              </w:rPr>
              <w:t>The strength of a suspected correlation cannot be measured without use of a statistical test (Spearman’s Coefficient of Correlation).</w:t>
            </w: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t>Proportional circles</w:t>
            </w:r>
          </w:p>
        </w:tc>
        <w:tc>
          <w:tcPr>
            <w:tcW w:w="3916" w:type="dxa"/>
          </w:tcPr>
          <w:p w:rsidR="004D70D3" w:rsidRDefault="004D70D3" w:rsidP="0058729C">
            <w:pPr>
              <w:spacing w:before="60" w:after="60"/>
              <w:rPr>
                <w:rFonts w:ascii="Arial" w:hAnsi="Arial" w:cs="Arial"/>
                <w:sz w:val="20"/>
              </w:rPr>
            </w:pPr>
            <w:r>
              <w:rPr>
                <w:rFonts w:ascii="Arial" w:hAnsi="Arial" w:cs="Arial"/>
                <w:sz w:val="20"/>
              </w:rPr>
              <w:t xml:space="preserve">Useful technique for representing absolute data where there is a large range of values. </w:t>
            </w:r>
          </w:p>
          <w:p w:rsidR="004D70D3" w:rsidRPr="009301E3" w:rsidRDefault="004D70D3" w:rsidP="0058729C">
            <w:pPr>
              <w:spacing w:before="60" w:after="60"/>
              <w:rPr>
                <w:rFonts w:ascii="Arial" w:hAnsi="Arial" w:cs="Arial"/>
                <w:sz w:val="20"/>
              </w:rPr>
            </w:pPr>
            <w:r>
              <w:rPr>
                <w:rFonts w:ascii="Arial" w:hAnsi="Arial" w:cs="Arial"/>
                <w:sz w:val="20"/>
              </w:rPr>
              <w:t>Proportional pie charts are capable of representing both the absolute value of the whole and percentages. This makes them more potentially useful than pie charts for making comparisons.</w:t>
            </w:r>
          </w:p>
        </w:tc>
        <w:tc>
          <w:tcPr>
            <w:tcW w:w="4031" w:type="dxa"/>
          </w:tcPr>
          <w:p w:rsidR="004D70D3" w:rsidRPr="009301E3" w:rsidRDefault="004D70D3" w:rsidP="0058729C">
            <w:pPr>
              <w:spacing w:before="60" w:after="60"/>
              <w:rPr>
                <w:rFonts w:ascii="Arial" w:hAnsi="Arial" w:cs="Arial"/>
                <w:sz w:val="20"/>
              </w:rPr>
            </w:pPr>
            <w:r>
              <w:rPr>
                <w:rFonts w:ascii="Arial" w:hAnsi="Arial" w:cs="Arial"/>
                <w:sz w:val="20"/>
              </w:rPr>
              <w:t xml:space="preserve">Difficult to construct and read the scale for proportional circles. </w:t>
            </w: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t>Choropleths</w:t>
            </w:r>
          </w:p>
        </w:tc>
        <w:tc>
          <w:tcPr>
            <w:tcW w:w="3916" w:type="dxa"/>
          </w:tcPr>
          <w:p w:rsidR="004D70D3" w:rsidRDefault="004D70D3" w:rsidP="0058729C">
            <w:pPr>
              <w:spacing w:before="60" w:after="60"/>
              <w:rPr>
                <w:rFonts w:ascii="Arial" w:hAnsi="Arial" w:cs="Arial"/>
                <w:sz w:val="20"/>
              </w:rPr>
            </w:pPr>
            <w:r>
              <w:rPr>
                <w:rFonts w:ascii="Arial" w:hAnsi="Arial" w:cs="Arial"/>
                <w:sz w:val="20"/>
              </w:rPr>
              <w:t xml:space="preserve">Effective way of representing groups of data and their changing patterns over space, for example, </w:t>
            </w:r>
            <w:proofErr w:type="spellStart"/>
            <w:r>
              <w:rPr>
                <w:rFonts w:ascii="Arial" w:hAnsi="Arial" w:cs="Arial"/>
                <w:sz w:val="20"/>
              </w:rPr>
              <w:t>GNI</w:t>
            </w:r>
            <w:proofErr w:type="spellEnd"/>
            <w:r>
              <w:rPr>
                <w:rFonts w:ascii="Arial" w:hAnsi="Arial" w:cs="Arial"/>
                <w:sz w:val="20"/>
              </w:rPr>
              <w:t xml:space="preserve"> for different countries or deprivation indicators across the wards of an urban area.</w:t>
            </w:r>
          </w:p>
          <w:p w:rsidR="004D70D3" w:rsidRDefault="004D70D3" w:rsidP="0058729C">
            <w:pPr>
              <w:spacing w:before="60" w:after="60"/>
              <w:rPr>
                <w:rFonts w:ascii="Arial" w:hAnsi="Arial" w:cs="Arial"/>
                <w:sz w:val="20"/>
              </w:rPr>
            </w:pPr>
            <w:r>
              <w:rPr>
                <w:rFonts w:ascii="Arial" w:hAnsi="Arial" w:cs="Arial"/>
                <w:sz w:val="20"/>
              </w:rPr>
              <w:t>The use of density shading is a visually effective technique to represent values.</w:t>
            </w:r>
          </w:p>
          <w:p w:rsidR="004D70D3" w:rsidRPr="009301E3" w:rsidRDefault="004D70D3" w:rsidP="0058729C">
            <w:pPr>
              <w:spacing w:before="60" w:after="60"/>
              <w:rPr>
                <w:rFonts w:ascii="Arial" w:hAnsi="Arial" w:cs="Arial"/>
                <w:sz w:val="20"/>
              </w:rPr>
            </w:pPr>
          </w:p>
        </w:tc>
        <w:tc>
          <w:tcPr>
            <w:tcW w:w="4031" w:type="dxa"/>
          </w:tcPr>
          <w:p w:rsidR="004D70D3" w:rsidRDefault="004D70D3" w:rsidP="0058729C">
            <w:pPr>
              <w:spacing w:before="60" w:after="60"/>
              <w:rPr>
                <w:rFonts w:ascii="Arial" w:hAnsi="Arial" w:cs="Arial"/>
                <w:sz w:val="20"/>
              </w:rPr>
            </w:pPr>
            <w:r>
              <w:rPr>
                <w:rFonts w:ascii="Arial" w:hAnsi="Arial" w:cs="Arial"/>
                <w:sz w:val="20"/>
              </w:rPr>
              <w:t xml:space="preserve">Spatial patterns can be concealed if too few groups of data are chosen for the choropleth. Spatial patterns can be generalised if too few spatial areas are available to plot the choropleth. </w:t>
            </w:r>
          </w:p>
          <w:p w:rsidR="004D70D3" w:rsidRPr="009301E3" w:rsidRDefault="004D70D3" w:rsidP="0058729C">
            <w:pPr>
              <w:spacing w:before="60" w:after="60"/>
              <w:rPr>
                <w:rFonts w:ascii="Arial" w:hAnsi="Arial" w:cs="Arial"/>
                <w:sz w:val="20"/>
              </w:rPr>
            </w:pPr>
            <w:r>
              <w:rPr>
                <w:rFonts w:ascii="Arial" w:hAnsi="Arial" w:cs="Arial"/>
                <w:sz w:val="20"/>
              </w:rPr>
              <w:t>Groupings can be made systematically where the data range is relatively small or by percentiles where the data range is larger. This may not be clear to the reader.</w:t>
            </w: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t xml:space="preserve">Flow-line </w:t>
            </w:r>
            <w:r w:rsidRPr="009301E3">
              <w:rPr>
                <w:rFonts w:ascii="Arial" w:hAnsi="Arial" w:cs="Arial"/>
                <w:sz w:val="20"/>
              </w:rPr>
              <w:lastRenderedPageBreak/>
              <w:t>maps</w:t>
            </w:r>
          </w:p>
        </w:tc>
        <w:tc>
          <w:tcPr>
            <w:tcW w:w="3916" w:type="dxa"/>
          </w:tcPr>
          <w:p w:rsidR="004D70D3" w:rsidRPr="009301E3" w:rsidRDefault="004D70D3" w:rsidP="0058729C">
            <w:pPr>
              <w:spacing w:before="60" w:after="60"/>
              <w:rPr>
                <w:rFonts w:ascii="Arial" w:hAnsi="Arial" w:cs="Arial"/>
                <w:sz w:val="20"/>
              </w:rPr>
            </w:pPr>
            <w:r>
              <w:rPr>
                <w:rFonts w:ascii="Arial" w:hAnsi="Arial" w:cs="Arial"/>
                <w:sz w:val="20"/>
              </w:rPr>
              <w:lastRenderedPageBreak/>
              <w:t xml:space="preserve">Effective way of representing flow </w:t>
            </w:r>
            <w:r>
              <w:rPr>
                <w:rFonts w:ascii="Arial" w:hAnsi="Arial" w:cs="Arial"/>
                <w:sz w:val="20"/>
              </w:rPr>
              <w:lastRenderedPageBreak/>
              <w:t>patterns over space, for example, flows of commuters or migrants.</w:t>
            </w:r>
          </w:p>
        </w:tc>
        <w:tc>
          <w:tcPr>
            <w:tcW w:w="4031" w:type="dxa"/>
          </w:tcPr>
          <w:p w:rsidR="004D70D3" w:rsidRPr="009301E3" w:rsidRDefault="004D70D3" w:rsidP="0058729C">
            <w:pPr>
              <w:spacing w:before="60" w:after="60"/>
              <w:rPr>
                <w:rFonts w:ascii="Arial" w:hAnsi="Arial" w:cs="Arial"/>
                <w:sz w:val="20"/>
              </w:rPr>
            </w:pPr>
            <w:r>
              <w:rPr>
                <w:rFonts w:ascii="Arial" w:hAnsi="Arial" w:cs="Arial"/>
                <w:sz w:val="20"/>
              </w:rPr>
              <w:lastRenderedPageBreak/>
              <w:t xml:space="preserve">Difficult to construct and read the scale for </w:t>
            </w:r>
            <w:r>
              <w:rPr>
                <w:rFonts w:ascii="Arial" w:hAnsi="Arial" w:cs="Arial"/>
                <w:sz w:val="20"/>
              </w:rPr>
              <w:lastRenderedPageBreak/>
              <w:t>proportional arrows/flow lines.</w:t>
            </w:r>
          </w:p>
        </w:tc>
      </w:tr>
      <w:tr w:rsidR="004D70D3" w:rsidTr="0058729C">
        <w:tc>
          <w:tcPr>
            <w:tcW w:w="1295" w:type="dxa"/>
          </w:tcPr>
          <w:p w:rsidR="004D70D3" w:rsidRPr="009301E3" w:rsidRDefault="004D70D3" w:rsidP="0058729C">
            <w:pPr>
              <w:spacing w:before="60" w:after="60"/>
              <w:rPr>
                <w:rFonts w:ascii="Arial" w:hAnsi="Arial" w:cs="Arial"/>
                <w:sz w:val="20"/>
              </w:rPr>
            </w:pPr>
            <w:r w:rsidRPr="009301E3">
              <w:rPr>
                <w:rFonts w:ascii="Arial" w:hAnsi="Arial" w:cs="Arial"/>
                <w:sz w:val="20"/>
              </w:rPr>
              <w:lastRenderedPageBreak/>
              <w:t>Located bars/pies</w:t>
            </w:r>
          </w:p>
        </w:tc>
        <w:tc>
          <w:tcPr>
            <w:tcW w:w="3916" w:type="dxa"/>
          </w:tcPr>
          <w:p w:rsidR="004D70D3" w:rsidRPr="009301E3" w:rsidRDefault="004D70D3" w:rsidP="0058729C">
            <w:pPr>
              <w:spacing w:before="60" w:after="60"/>
              <w:rPr>
                <w:rFonts w:ascii="Arial" w:hAnsi="Arial" w:cs="Arial"/>
                <w:sz w:val="20"/>
              </w:rPr>
            </w:pPr>
            <w:r>
              <w:rPr>
                <w:rFonts w:ascii="Arial" w:hAnsi="Arial" w:cs="Arial"/>
                <w:sz w:val="20"/>
              </w:rPr>
              <w:t>Effective way of representing absolute values of discrete data (using located bars) or percentage data (using located pie charts) over space. May be combined with another cartographic technique such as a choropleth.</w:t>
            </w:r>
          </w:p>
        </w:tc>
        <w:tc>
          <w:tcPr>
            <w:tcW w:w="4031" w:type="dxa"/>
          </w:tcPr>
          <w:p w:rsidR="004D70D3" w:rsidRDefault="004D70D3" w:rsidP="0058729C">
            <w:pPr>
              <w:spacing w:before="60" w:after="60"/>
              <w:rPr>
                <w:rFonts w:ascii="Arial" w:hAnsi="Arial" w:cs="Arial"/>
                <w:sz w:val="20"/>
              </w:rPr>
            </w:pPr>
            <w:r>
              <w:rPr>
                <w:rFonts w:ascii="Arial" w:hAnsi="Arial" w:cs="Arial"/>
                <w:sz w:val="20"/>
              </w:rPr>
              <w:t xml:space="preserve">The position of the located symbol may obscure important data on the base map. </w:t>
            </w:r>
          </w:p>
          <w:p w:rsidR="004D70D3" w:rsidRPr="009301E3" w:rsidRDefault="004D70D3" w:rsidP="0058729C">
            <w:pPr>
              <w:spacing w:before="60" w:after="60"/>
              <w:rPr>
                <w:rFonts w:ascii="Arial" w:hAnsi="Arial" w:cs="Arial"/>
                <w:sz w:val="20"/>
              </w:rPr>
            </w:pPr>
            <w:r>
              <w:rPr>
                <w:rFonts w:ascii="Arial" w:hAnsi="Arial" w:cs="Arial"/>
                <w:sz w:val="20"/>
              </w:rPr>
              <w:t>Located bars may begin in one area of the map and end in another creating confusion for the reader.</w:t>
            </w:r>
          </w:p>
        </w:tc>
      </w:tr>
    </w:tbl>
    <w:p w:rsidR="00FA1A10" w:rsidRDefault="00FA1A10"/>
    <w:sectPr w:rsidR="00FA1A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D3"/>
    <w:rsid w:val="000014EF"/>
    <w:rsid w:val="0000153A"/>
    <w:rsid w:val="0001107E"/>
    <w:rsid w:val="00011D65"/>
    <w:rsid w:val="00011E71"/>
    <w:rsid w:val="00013E6F"/>
    <w:rsid w:val="0002027B"/>
    <w:rsid w:val="00024485"/>
    <w:rsid w:val="00024C26"/>
    <w:rsid w:val="000250F6"/>
    <w:rsid w:val="000256FA"/>
    <w:rsid w:val="00027BAC"/>
    <w:rsid w:val="000302AB"/>
    <w:rsid w:val="0003210A"/>
    <w:rsid w:val="00040AD4"/>
    <w:rsid w:val="00040D28"/>
    <w:rsid w:val="00042947"/>
    <w:rsid w:val="00047A62"/>
    <w:rsid w:val="00056826"/>
    <w:rsid w:val="00056F5E"/>
    <w:rsid w:val="00056FC9"/>
    <w:rsid w:val="00057367"/>
    <w:rsid w:val="00061D37"/>
    <w:rsid w:val="00064B16"/>
    <w:rsid w:val="00065BEE"/>
    <w:rsid w:val="0007050A"/>
    <w:rsid w:val="00077BDC"/>
    <w:rsid w:val="00084312"/>
    <w:rsid w:val="000953AB"/>
    <w:rsid w:val="00095A95"/>
    <w:rsid w:val="00096022"/>
    <w:rsid w:val="000A41AE"/>
    <w:rsid w:val="000B0CC7"/>
    <w:rsid w:val="000B211D"/>
    <w:rsid w:val="000B2DDC"/>
    <w:rsid w:val="000B6BFD"/>
    <w:rsid w:val="000C4D8E"/>
    <w:rsid w:val="000C5F61"/>
    <w:rsid w:val="000C68DC"/>
    <w:rsid w:val="000C6CD4"/>
    <w:rsid w:val="000C755B"/>
    <w:rsid w:val="000D159D"/>
    <w:rsid w:val="000D2523"/>
    <w:rsid w:val="000D26EE"/>
    <w:rsid w:val="000D2AEE"/>
    <w:rsid w:val="000D3C99"/>
    <w:rsid w:val="000D50EA"/>
    <w:rsid w:val="000D6F62"/>
    <w:rsid w:val="000E0106"/>
    <w:rsid w:val="000E2E54"/>
    <w:rsid w:val="000E74F1"/>
    <w:rsid w:val="000E75B4"/>
    <w:rsid w:val="000F5156"/>
    <w:rsid w:val="00100A51"/>
    <w:rsid w:val="00102013"/>
    <w:rsid w:val="00102B1C"/>
    <w:rsid w:val="0010578E"/>
    <w:rsid w:val="00106B88"/>
    <w:rsid w:val="00106F97"/>
    <w:rsid w:val="001200E5"/>
    <w:rsid w:val="00120F71"/>
    <w:rsid w:val="00121DEA"/>
    <w:rsid w:val="00123AAD"/>
    <w:rsid w:val="00125178"/>
    <w:rsid w:val="0012591E"/>
    <w:rsid w:val="00126E53"/>
    <w:rsid w:val="00130F44"/>
    <w:rsid w:val="0013260B"/>
    <w:rsid w:val="001359A9"/>
    <w:rsid w:val="0014110E"/>
    <w:rsid w:val="001416DA"/>
    <w:rsid w:val="001432D9"/>
    <w:rsid w:val="001445E8"/>
    <w:rsid w:val="00145405"/>
    <w:rsid w:val="001473A7"/>
    <w:rsid w:val="0015197B"/>
    <w:rsid w:val="0015372D"/>
    <w:rsid w:val="001556C7"/>
    <w:rsid w:val="00167E57"/>
    <w:rsid w:val="001730F1"/>
    <w:rsid w:val="00177F82"/>
    <w:rsid w:val="00181143"/>
    <w:rsid w:val="001822AA"/>
    <w:rsid w:val="00185813"/>
    <w:rsid w:val="00191987"/>
    <w:rsid w:val="001939B7"/>
    <w:rsid w:val="00195C6A"/>
    <w:rsid w:val="001B0A17"/>
    <w:rsid w:val="001B10E3"/>
    <w:rsid w:val="001B4AAA"/>
    <w:rsid w:val="001C08D0"/>
    <w:rsid w:val="001C1B5E"/>
    <w:rsid w:val="001C2B48"/>
    <w:rsid w:val="001C730C"/>
    <w:rsid w:val="001D13AB"/>
    <w:rsid w:val="001D298B"/>
    <w:rsid w:val="001D34F4"/>
    <w:rsid w:val="001D7D56"/>
    <w:rsid w:val="001E076A"/>
    <w:rsid w:val="001E3877"/>
    <w:rsid w:val="001E442F"/>
    <w:rsid w:val="001E6CD8"/>
    <w:rsid w:val="001F2B65"/>
    <w:rsid w:val="001F540A"/>
    <w:rsid w:val="002006A7"/>
    <w:rsid w:val="002008A0"/>
    <w:rsid w:val="0020106C"/>
    <w:rsid w:val="002019E0"/>
    <w:rsid w:val="00201BBA"/>
    <w:rsid w:val="00202DB4"/>
    <w:rsid w:val="002063D3"/>
    <w:rsid w:val="00207576"/>
    <w:rsid w:val="002076AF"/>
    <w:rsid w:val="0021301B"/>
    <w:rsid w:val="00216450"/>
    <w:rsid w:val="00227C32"/>
    <w:rsid w:val="0023098D"/>
    <w:rsid w:val="00232F13"/>
    <w:rsid w:val="00232FB9"/>
    <w:rsid w:val="00236C0E"/>
    <w:rsid w:val="00240E8D"/>
    <w:rsid w:val="0024143A"/>
    <w:rsid w:val="00241BE0"/>
    <w:rsid w:val="002458AF"/>
    <w:rsid w:val="002507A1"/>
    <w:rsid w:val="0025323C"/>
    <w:rsid w:val="00254B8F"/>
    <w:rsid w:val="00256A45"/>
    <w:rsid w:val="0025783A"/>
    <w:rsid w:val="00260215"/>
    <w:rsid w:val="00261CCE"/>
    <w:rsid w:val="00263289"/>
    <w:rsid w:val="00263D2E"/>
    <w:rsid w:val="00272A0B"/>
    <w:rsid w:val="00274E16"/>
    <w:rsid w:val="00276C90"/>
    <w:rsid w:val="002831C3"/>
    <w:rsid w:val="00284670"/>
    <w:rsid w:val="002926BA"/>
    <w:rsid w:val="00293F96"/>
    <w:rsid w:val="00294925"/>
    <w:rsid w:val="00295AD8"/>
    <w:rsid w:val="002A4A08"/>
    <w:rsid w:val="002A73B9"/>
    <w:rsid w:val="002B2F1D"/>
    <w:rsid w:val="002B3DF7"/>
    <w:rsid w:val="002B6C57"/>
    <w:rsid w:val="002C34F3"/>
    <w:rsid w:val="002C6FD4"/>
    <w:rsid w:val="002C7D97"/>
    <w:rsid w:val="002D0856"/>
    <w:rsid w:val="002D1D1E"/>
    <w:rsid w:val="002E0484"/>
    <w:rsid w:val="002E3D5C"/>
    <w:rsid w:val="002E5ACA"/>
    <w:rsid w:val="002E6DD6"/>
    <w:rsid w:val="002F1123"/>
    <w:rsid w:val="002F771D"/>
    <w:rsid w:val="002F7BF4"/>
    <w:rsid w:val="003021AD"/>
    <w:rsid w:val="00306ABB"/>
    <w:rsid w:val="00311373"/>
    <w:rsid w:val="00313EA0"/>
    <w:rsid w:val="003165DF"/>
    <w:rsid w:val="003177F9"/>
    <w:rsid w:val="00317D5B"/>
    <w:rsid w:val="0032079F"/>
    <w:rsid w:val="00321163"/>
    <w:rsid w:val="00323320"/>
    <w:rsid w:val="0032479B"/>
    <w:rsid w:val="00324C84"/>
    <w:rsid w:val="0032629C"/>
    <w:rsid w:val="003305B2"/>
    <w:rsid w:val="00336E10"/>
    <w:rsid w:val="0034006E"/>
    <w:rsid w:val="003401D2"/>
    <w:rsid w:val="00340995"/>
    <w:rsid w:val="00341717"/>
    <w:rsid w:val="0034657A"/>
    <w:rsid w:val="003521D1"/>
    <w:rsid w:val="00352FB8"/>
    <w:rsid w:val="0035466D"/>
    <w:rsid w:val="00354B90"/>
    <w:rsid w:val="00356855"/>
    <w:rsid w:val="00361FD2"/>
    <w:rsid w:val="00362935"/>
    <w:rsid w:val="00363944"/>
    <w:rsid w:val="0036402F"/>
    <w:rsid w:val="00370E06"/>
    <w:rsid w:val="00376718"/>
    <w:rsid w:val="00376921"/>
    <w:rsid w:val="00386DCD"/>
    <w:rsid w:val="00387B50"/>
    <w:rsid w:val="00390677"/>
    <w:rsid w:val="003A5A2A"/>
    <w:rsid w:val="003A6686"/>
    <w:rsid w:val="003B167D"/>
    <w:rsid w:val="003B6D19"/>
    <w:rsid w:val="003B756A"/>
    <w:rsid w:val="003C02E1"/>
    <w:rsid w:val="003C0DD4"/>
    <w:rsid w:val="003C11F9"/>
    <w:rsid w:val="003C1877"/>
    <w:rsid w:val="003C43E8"/>
    <w:rsid w:val="003C7696"/>
    <w:rsid w:val="003D0FF5"/>
    <w:rsid w:val="003D3374"/>
    <w:rsid w:val="003D4CAA"/>
    <w:rsid w:val="003D6739"/>
    <w:rsid w:val="003D71CE"/>
    <w:rsid w:val="003D74A3"/>
    <w:rsid w:val="003E0731"/>
    <w:rsid w:val="003E1CD7"/>
    <w:rsid w:val="003E4C2A"/>
    <w:rsid w:val="003E547E"/>
    <w:rsid w:val="003F742F"/>
    <w:rsid w:val="003F7907"/>
    <w:rsid w:val="0040080E"/>
    <w:rsid w:val="00401F9D"/>
    <w:rsid w:val="004030AE"/>
    <w:rsid w:val="004032DB"/>
    <w:rsid w:val="004105BE"/>
    <w:rsid w:val="00412BAB"/>
    <w:rsid w:val="00420774"/>
    <w:rsid w:val="00421353"/>
    <w:rsid w:val="0042548A"/>
    <w:rsid w:val="00425D80"/>
    <w:rsid w:val="0042793A"/>
    <w:rsid w:val="00433F3B"/>
    <w:rsid w:val="00436A08"/>
    <w:rsid w:val="00442FD8"/>
    <w:rsid w:val="004434A0"/>
    <w:rsid w:val="0044437D"/>
    <w:rsid w:val="00450307"/>
    <w:rsid w:val="004557C7"/>
    <w:rsid w:val="00456878"/>
    <w:rsid w:val="00456A70"/>
    <w:rsid w:val="004570BB"/>
    <w:rsid w:val="00457C99"/>
    <w:rsid w:val="00460BB3"/>
    <w:rsid w:val="0046232D"/>
    <w:rsid w:val="00464BAE"/>
    <w:rsid w:val="00472369"/>
    <w:rsid w:val="004759C0"/>
    <w:rsid w:val="00480DBF"/>
    <w:rsid w:val="00480F5F"/>
    <w:rsid w:val="004916C9"/>
    <w:rsid w:val="0049242A"/>
    <w:rsid w:val="00493741"/>
    <w:rsid w:val="0049597E"/>
    <w:rsid w:val="004A2A95"/>
    <w:rsid w:val="004A30A1"/>
    <w:rsid w:val="004A3F14"/>
    <w:rsid w:val="004A4508"/>
    <w:rsid w:val="004A7AC1"/>
    <w:rsid w:val="004B0EFD"/>
    <w:rsid w:val="004B50EF"/>
    <w:rsid w:val="004B6132"/>
    <w:rsid w:val="004C2F4B"/>
    <w:rsid w:val="004C6E9E"/>
    <w:rsid w:val="004D55D2"/>
    <w:rsid w:val="004D70D3"/>
    <w:rsid w:val="004D7D97"/>
    <w:rsid w:val="004E425E"/>
    <w:rsid w:val="004E5B54"/>
    <w:rsid w:val="004E7827"/>
    <w:rsid w:val="005010E9"/>
    <w:rsid w:val="00517F94"/>
    <w:rsid w:val="00521F58"/>
    <w:rsid w:val="00525E74"/>
    <w:rsid w:val="00526180"/>
    <w:rsid w:val="00527170"/>
    <w:rsid w:val="00532179"/>
    <w:rsid w:val="00533DAA"/>
    <w:rsid w:val="00541EDE"/>
    <w:rsid w:val="00556FF2"/>
    <w:rsid w:val="00564648"/>
    <w:rsid w:val="00566672"/>
    <w:rsid w:val="005717A4"/>
    <w:rsid w:val="00580D6C"/>
    <w:rsid w:val="00584BD0"/>
    <w:rsid w:val="005919DC"/>
    <w:rsid w:val="005923DE"/>
    <w:rsid w:val="005924CC"/>
    <w:rsid w:val="005A47B5"/>
    <w:rsid w:val="005A78BC"/>
    <w:rsid w:val="005A7C1B"/>
    <w:rsid w:val="005B1F43"/>
    <w:rsid w:val="005C132A"/>
    <w:rsid w:val="005C239A"/>
    <w:rsid w:val="005C4893"/>
    <w:rsid w:val="005D02A9"/>
    <w:rsid w:val="005D1CAC"/>
    <w:rsid w:val="005D21E1"/>
    <w:rsid w:val="005D2743"/>
    <w:rsid w:val="005D5469"/>
    <w:rsid w:val="005D72E9"/>
    <w:rsid w:val="005E0B30"/>
    <w:rsid w:val="005E294E"/>
    <w:rsid w:val="005E2E0D"/>
    <w:rsid w:val="005E4CCD"/>
    <w:rsid w:val="005E539F"/>
    <w:rsid w:val="005E5BE6"/>
    <w:rsid w:val="005E6D47"/>
    <w:rsid w:val="005F09F2"/>
    <w:rsid w:val="005F1989"/>
    <w:rsid w:val="005F7F16"/>
    <w:rsid w:val="006024F4"/>
    <w:rsid w:val="00603C6F"/>
    <w:rsid w:val="00603F52"/>
    <w:rsid w:val="00606B32"/>
    <w:rsid w:val="00610BC8"/>
    <w:rsid w:val="0061206F"/>
    <w:rsid w:val="006135D1"/>
    <w:rsid w:val="00621F4F"/>
    <w:rsid w:val="00625438"/>
    <w:rsid w:val="00627CC4"/>
    <w:rsid w:val="0063248D"/>
    <w:rsid w:val="00633E44"/>
    <w:rsid w:val="0063767C"/>
    <w:rsid w:val="00640E1B"/>
    <w:rsid w:val="00641D85"/>
    <w:rsid w:val="00644AB3"/>
    <w:rsid w:val="006453F2"/>
    <w:rsid w:val="00645E6C"/>
    <w:rsid w:val="00647D37"/>
    <w:rsid w:val="00655A03"/>
    <w:rsid w:val="00660E90"/>
    <w:rsid w:val="006621CD"/>
    <w:rsid w:val="00662A3B"/>
    <w:rsid w:val="00673E73"/>
    <w:rsid w:val="006751A1"/>
    <w:rsid w:val="00680600"/>
    <w:rsid w:val="00680AB2"/>
    <w:rsid w:val="00680C0E"/>
    <w:rsid w:val="00680E7C"/>
    <w:rsid w:val="00683C85"/>
    <w:rsid w:val="006840F0"/>
    <w:rsid w:val="0068437A"/>
    <w:rsid w:val="006846B1"/>
    <w:rsid w:val="0068719F"/>
    <w:rsid w:val="00691B39"/>
    <w:rsid w:val="006A0670"/>
    <w:rsid w:val="006A220D"/>
    <w:rsid w:val="006A41DF"/>
    <w:rsid w:val="006A4EE5"/>
    <w:rsid w:val="006A5074"/>
    <w:rsid w:val="006A5E2D"/>
    <w:rsid w:val="006B1E8A"/>
    <w:rsid w:val="006B226A"/>
    <w:rsid w:val="006B5A0E"/>
    <w:rsid w:val="006C281B"/>
    <w:rsid w:val="006C41CA"/>
    <w:rsid w:val="006D324E"/>
    <w:rsid w:val="006D3A27"/>
    <w:rsid w:val="006E6EED"/>
    <w:rsid w:val="006F6BF2"/>
    <w:rsid w:val="006F79EC"/>
    <w:rsid w:val="007010EA"/>
    <w:rsid w:val="007011C1"/>
    <w:rsid w:val="00706628"/>
    <w:rsid w:val="00707B0B"/>
    <w:rsid w:val="00715C63"/>
    <w:rsid w:val="00720A51"/>
    <w:rsid w:val="0072290A"/>
    <w:rsid w:val="0072358B"/>
    <w:rsid w:val="00725832"/>
    <w:rsid w:val="00726FE2"/>
    <w:rsid w:val="007273EA"/>
    <w:rsid w:val="0073555C"/>
    <w:rsid w:val="00735BF3"/>
    <w:rsid w:val="00737359"/>
    <w:rsid w:val="007406A7"/>
    <w:rsid w:val="00741314"/>
    <w:rsid w:val="0075022D"/>
    <w:rsid w:val="00751990"/>
    <w:rsid w:val="007525B5"/>
    <w:rsid w:val="00753D93"/>
    <w:rsid w:val="00754B73"/>
    <w:rsid w:val="00760908"/>
    <w:rsid w:val="007615F7"/>
    <w:rsid w:val="00775049"/>
    <w:rsid w:val="0077713B"/>
    <w:rsid w:val="00781799"/>
    <w:rsid w:val="00786170"/>
    <w:rsid w:val="00794F14"/>
    <w:rsid w:val="007A188B"/>
    <w:rsid w:val="007A59DF"/>
    <w:rsid w:val="007A6A08"/>
    <w:rsid w:val="007B1104"/>
    <w:rsid w:val="007B1544"/>
    <w:rsid w:val="007B72B2"/>
    <w:rsid w:val="007C08DE"/>
    <w:rsid w:val="007C2E05"/>
    <w:rsid w:val="007C2F17"/>
    <w:rsid w:val="007C4D91"/>
    <w:rsid w:val="007D07F8"/>
    <w:rsid w:val="007E096E"/>
    <w:rsid w:val="007E20A6"/>
    <w:rsid w:val="007E5A54"/>
    <w:rsid w:val="007E79DC"/>
    <w:rsid w:val="007F20D8"/>
    <w:rsid w:val="007F5635"/>
    <w:rsid w:val="007F69F9"/>
    <w:rsid w:val="007F6E61"/>
    <w:rsid w:val="00803F84"/>
    <w:rsid w:val="00805F7B"/>
    <w:rsid w:val="00806C53"/>
    <w:rsid w:val="00811716"/>
    <w:rsid w:val="0081704B"/>
    <w:rsid w:val="008170A5"/>
    <w:rsid w:val="0082199D"/>
    <w:rsid w:val="00822156"/>
    <w:rsid w:val="00823FA8"/>
    <w:rsid w:val="00834574"/>
    <w:rsid w:val="0083574F"/>
    <w:rsid w:val="00837368"/>
    <w:rsid w:val="008416F8"/>
    <w:rsid w:val="00842B40"/>
    <w:rsid w:val="008507D3"/>
    <w:rsid w:val="00850E55"/>
    <w:rsid w:val="00852A1E"/>
    <w:rsid w:val="0085428F"/>
    <w:rsid w:val="00855F5F"/>
    <w:rsid w:val="00856F9A"/>
    <w:rsid w:val="00864811"/>
    <w:rsid w:val="0086505B"/>
    <w:rsid w:val="008704CD"/>
    <w:rsid w:val="00873E52"/>
    <w:rsid w:val="00876ABE"/>
    <w:rsid w:val="00876DA4"/>
    <w:rsid w:val="0087729B"/>
    <w:rsid w:val="008841C9"/>
    <w:rsid w:val="0089124E"/>
    <w:rsid w:val="008926F5"/>
    <w:rsid w:val="0089323D"/>
    <w:rsid w:val="008A32A3"/>
    <w:rsid w:val="008A558E"/>
    <w:rsid w:val="008A5AC9"/>
    <w:rsid w:val="008A60D2"/>
    <w:rsid w:val="008B3445"/>
    <w:rsid w:val="008B5DFF"/>
    <w:rsid w:val="008B6113"/>
    <w:rsid w:val="008B7D03"/>
    <w:rsid w:val="008C0422"/>
    <w:rsid w:val="008C20B4"/>
    <w:rsid w:val="008C308C"/>
    <w:rsid w:val="008C3C35"/>
    <w:rsid w:val="008C665C"/>
    <w:rsid w:val="008C6F9C"/>
    <w:rsid w:val="008C735B"/>
    <w:rsid w:val="008D1C40"/>
    <w:rsid w:val="008D2A0E"/>
    <w:rsid w:val="008D7E12"/>
    <w:rsid w:val="008E3923"/>
    <w:rsid w:val="008E41C4"/>
    <w:rsid w:val="008F4081"/>
    <w:rsid w:val="008F5562"/>
    <w:rsid w:val="008F6251"/>
    <w:rsid w:val="008F695C"/>
    <w:rsid w:val="008F72F8"/>
    <w:rsid w:val="00901115"/>
    <w:rsid w:val="009075B6"/>
    <w:rsid w:val="009111A9"/>
    <w:rsid w:val="00915CCF"/>
    <w:rsid w:val="00915D01"/>
    <w:rsid w:val="0092126C"/>
    <w:rsid w:val="00924814"/>
    <w:rsid w:val="009253FD"/>
    <w:rsid w:val="00932729"/>
    <w:rsid w:val="00933961"/>
    <w:rsid w:val="00935A09"/>
    <w:rsid w:val="00936827"/>
    <w:rsid w:val="00941375"/>
    <w:rsid w:val="00951C26"/>
    <w:rsid w:val="00954D96"/>
    <w:rsid w:val="009579E1"/>
    <w:rsid w:val="00971391"/>
    <w:rsid w:val="00971ECC"/>
    <w:rsid w:val="009734EE"/>
    <w:rsid w:val="00974A33"/>
    <w:rsid w:val="00987715"/>
    <w:rsid w:val="0099451A"/>
    <w:rsid w:val="009A1675"/>
    <w:rsid w:val="009A1756"/>
    <w:rsid w:val="009A3482"/>
    <w:rsid w:val="009A4C8E"/>
    <w:rsid w:val="009A4C9C"/>
    <w:rsid w:val="009B0578"/>
    <w:rsid w:val="009B32D3"/>
    <w:rsid w:val="009B5479"/>
    <w:rsid w:val="009B70C2"/>
    <w:rsid w:val="009B7A80"/>
    <w:rsid w:val="009C20A9"/>
    <w:rsid w:val="009C675B"/>
    <w:rsid w:val="009D1B81"/>
    <w:rsid w:val="009D4285"/>
    <w:rsid w:val="009E034A"/>
    <w:rsid w:val="009E210E"/>
    <w:rsid w:val="009E38F6"/>
    <w:rsid w:val="009E4A7D"/>
    <w:rsid w:val="009E4D99"/>
    <w:rsid w:val="009E4F3E"/>
    <w:rsid w:val="009F03DF"/>
    <w:rsid w:val="009F33CB"/>
    <w:rsid w:val="009F70D9"/>
    <w:rsid w:val="009F71FF"/>
    <w:rsid w:val="009F74EF"/>
    <w:rsid w:val="00A07E76"/>
    <w:rsid w:val="00A07EB7"/>
    <w:rsid w:val="00A14C03"/>
    <w:rsid w:val="00A26D03"/>
    <w:rsid w:val="00A30E76"/>
    <w:rsid w:val="00A32268"/>
    <w:rsid w:val="00A33B01"/>
    <w:rsid w:val="00A40616"/>
    <w:rsid w:val="00A42291"/>
    <w:rsid w:val="00A46927"/>
    <w:rsid w:val="00A478AC"/>
    <w:rsid w:val="00A50F89"/>
    <w:rsid w:val="00A52253"/>
    <w:rsid w:val="00A53536"/>
    <w:rsid w:val="00A6180E"/>
    <w:rsid w:val="00A63CEF"/>
    <w:rsid w:val="00A65647"/>
    <w:rsid w:val="00A700E9"/>
    <w:rsid w:val="00A72446"/>
    <w:rsid w:val="00A748AA"/>
    <w:rsid w:val="00A82B31"/>
    <w:rsid w:val="00A8452D"/>
    <w:rsid w:val="00A8648C"/>
    <w:rsid w:val="00A9368A"/>
    <w:rsid w:val="00A96312"/>
    <w:rsid w:val="00A968EC"/>
    <w:rsid w:val="00AA108D"/>
    <w:rsid w:val="00AA796A"/>
    <w:rsid w:val="00AB13DE"/>
    <w:rsid w:val="00AB1F2D"/>
    <w:rsid w:val="00AB20A3"/>
    <w:rsid w:val="00AB43C1"/>
    <w:rsid w:val="00AC5569"/>
    <w:rsid w:val="00AC620F"/>
    <w:rsid w:val="00AD37B2"/>
    <w:rsid w:val="00AD508C"/>
    <w:rsid w:val="00AD6265"/>
    <w:rsid w:val="00AF19EB"/>
    <w:rsid w:val="00AF50A3"/>
    <w:rsid w:val="00AF7F38"/>
    <w:rsid w:val="00B0145C"/>
    <w:rsid w:val="00B0145F"/>
    <w:rsid w:val="00B06B7A"/>
    <w:rsid w:val="00B07170"/>
    <w:rsid w:val="00B103BE"/>
    <w:rsid w:val="00B14CD0"/>
    <w:rsid w:val="00B17BAD"/>
    <w:rsid w:val="00B21E49"/>
    <w:rsid w:val="00B23146"/>
    <w:rsid w:val="00B24F1E"/>
    <w:rsid w:val="00B278F4"/>
    <w:rsid w:val="00B31A4C"/>
    <w:rsid w:val="00B33E13"/>
    <w:rsid w:val="00B3684E"/>
    <w:rsid w:val="00B40003"/>
    <w:rsid w:val="00B42DDF"/>
    <w:rsid w:val="00B46D7E"/>
    <w:rsid w:val="00B56080"/>
    <w:rsid w:val="00B61047"/>
    <w:rsid w:val="00B6296F"/>
    <w:rsid w:val="00B63571"/>
    <w:rsid w:val="00B64E96"/>
    <w:rsid w:val="00B70152"/>
    <w:rsid w:val="00B72128"/>
    <w:rsid w:val="00B7437C"/>
    <w:rsid w:val="00B82E7C"/>
    <w:rsid w:val="00B8457A"/>
    <w:rsid w:val="00B86583"/>
    <w:rsid w:val="00B917E5"/>
    <w:rsid w:val="00B9488E"/>
    <w:rsid w:val="00B96596"/>
    <w:rsid w:val="00BA6135"/>
    <w:rsid w:val="00BC7F04"/>
    <w:rsid w:val="00BD3824"/>
    <w:rsid w:val="00BD3869"/>
    <w:rsid w:val="00BD67AD"/>
    <w:rsid w:val="00BD696A"/>
    <w:rsid w:val="00BE7F48"/>
    <w:rsid w:val="00BF3B71"/>
    <w:rsid w:val="00BF7D10"/>
    <w:rsid w:val="00C021A7"/>
    <w:rsid w:val="00C057B0"/>
    <w:rsid w:val="00C06C2A"/>
    <w:rsid w:val="00C1090E"/>
    <w:rsid w:val="00C10975"/>
    <w:rsid w:val="00C10CF7"/>
    <w:rsid w:val="00C13E47"/>
    <w:rsid w:val="00C16D01"/>
    <w:rsid w:val="00C1779B"/>
    <w:rsid w:val="00C17CA5"/>
    <w:rsid w:val="00C17EB3"/>
    <w:rsid w:val="00C21A3D"/>
    <w:rsid w:val="00C23283"/>
    <w:rsid w:val="00C2563C"/>
    <w:rsid w:val="00C307B9"/>
    <w:rsid w:val="00C357D5"/>
    <w:rsid w:val="00C37C56"/>
    <w:rsid w:val="00C42667"/>
    <w:rsid w:val="00C44A06"/>
    <w:rsid w:val="00C46C34"/>
    <w:rsid w:val="00C54473"/>
    <w:rsid w:val="00C5617B"/>
    <w:rsid w:val="00C572F3"/>
    <w:rsid w:val="00C65A2C"/>
    <w:rsid w:val="00C65F16"/>
    <w:rsid w:val="00C73901"/>
    <w:rsid w:val="00C76EC8"/>
    <w:rsid w:val="00C778E8"/>
    <w:rsid w:val="00C83738"/>
    <w:rsid w:val="00C92D76"/>
    <w:rsid w:val="00C941AB"/>
    <w:rsid w:val="00C95039"/>
    <w:rsid w:val="00C95557"/>
    <w:rsid w:val="00C958E0"/>
    <w:rsid w:val="00C95BDF"/>
    <w:rsid w:val="00CA3DF3"/>
    <w:rsid w:val="00CB0B93"/>
    <w:rsid w:val="00CB0DA9"/>
    <w:rsid w:val="00CB1411"/>
    <w:rsid w:val="00CB330E"/>
    <w:rsid w:val="00CB33D3"/>
    <w:rsid w:val="00CB365B"/>
    <w:rsid w:val="00CB4E94"/>
    <w:rsid w:val="00CC01EC"/>
    <w:rsid w:val="00CC26E8"/>
    <w:rsid w:val="00CC2ABF"/>
    <w:rsid w:val="00CC4A7D"/>
    <w:rsid w:val="00CC5377"/>
    <w:rsid w:val="00CD06CF"/>
    <w:rsid w:val="00CD30AF"/>
    <w:rsid w:val="00CD3CF3"/>
    <w:rsid w:val="00CD4977"/>
    <w:rsid w:val="00CE053F"/>
    <w:rsid w:val="00CE0803"/>
    <w:rsid w:val="00CE1166"/>
    <w:rsid w:val="00CE4947"/>
    <w:rsid w:val="00CF0851"/>
    <w:rsid w:val="00CF48C4"/>
    <w:rsid w:val="00CF5C5B"/>
    <w:rsid w:val="00CF7CBA"/>
    <w:rsid w:val="00D019D6"/>
    <w:rsid w:val="00D055CB"/>
    <w:rsid w:val="00D0761B"/>
    <w:rsid w:val="00D076F4"/>
    <w:rsid w:val="00D11466"/>
    <w:rsid w:val="00D13757"/>
    <w:rsid w:val="00D1694F"/>
    <w:rsid w:val="00D17D14"/>
    <w:rsid w:val="00D2199A"/>
    <w:rsid w:val="00D2407A"/>
    <w:rsid w:val="00D300B6"/>
    <w:rsid w:val="00D32A0A"/>
    <w:rsid w:val="00D44BAA"/>
    <w:rsid w:val="00D50F0C"/>
    <w:rsid w:val="00D56508"/>
    <w:rsid w:val="00D6030F"/>
    <w:rsid w:val="00D63E14"/>
    <w:rsid w:val="00D7453D"/>
    <w:rsid w:val="00D76E6B"/>
    <w:rsid w:val="00D825FD"/>
    <w:rsid w:val="00D85B48"/>
    <w:rsid w:val="00D91445"/>
    <w:rsid w:val="00D92326"/>
    <w:rsid w:val="00D92E0C"/>
    <w:rsid w:val="00D94D83"/>
    <w:rsid w:val="00D96AFB"/>
    <w:rsid w:val="00DA26EA"/>
    <w:rsid w:val="00DA2881"/>
    <w:rsid w:val="00DA3FF5"/>
    <w:rsid w:val="00DB139B"/>
    <w:rsid w:val="00DB13B8"/>
    <w:rsid w:val="00DB5261"/>
    <w:rsid w:val="00DB5DFF"/>
    <w:rsid w:val="00DC1B42"/>
    <w:rsid w:val="00DC3164"/>
    <w:rsid w:val="00DD1D96"/>
    <w:rsid w:val="00DD271C"/>
    <w:rsid w:val="00DD660B"/>
    <w:rsid w:val="00DD6A4F"/>
    <w:rsid w:val="00DD74A8"/>
    <w:rsid w:val="00DE13CD"/>
    <w:rsid w:val="00DE20F1"/>
    <w:rsid w:val="00DE7B0E"/>
    <w:rsid w:val="00DF0445"/>
    <w:rsid w:val="00DF36B6"/>
    <w:rsid w:val="00DF6B0A"/>
    <w:rsid w:val="00E014A0"/>
    <w:rsid w:val="00E01888"/>
    <w:rsid w:val="00E04A40"/>
    <w:rsid w:val="00E077A1"/>
    <w:rsid w:val="00E10897"/>
    <w:rsid w:val="00E14AAB"/>
    <w:rsid w:val="00E2104B"/>
    <w:rsid w:val="00E22C43"/>
    <w:rsid w:val="00E25A6C"/>
    <w:rsid w:val="00E30D70"/>
    <w:rsid w:val="00E33A45"/>
    <w:rsid w:val="00E343B7"/>
    <w:rsid w:val="00E358AD"/>
    <w:rsid w:val="00E4315C"/>
    <w:rsid w:val="00E45231"/>
    <w:rsid w:val="00E56214"/>
    <w:rsid w:val="00E562C0"/>
    <w:rsid w:val="00E60942"/>
    <w:rsid w:val="00E6364A"/>
    <w:rsid w:val="00E661BE"/>
    <w:rsid w:val="00E67E40"/>
    <w:rsid w:val="00E7435F"/>
    <w:rsid w:val="00E83C89"/>
    <w:rsid w:val="00E8483F"/>
    <w:rsid w:val="00E8508E"/>
    <w:rsid w:val="00E86E65"/>
    <w:rsid w:val="00E87194"/>
    <w:rsid w:val="00E92F43"/>
    <w:rsid w:val="00E95311"/>
    <w:rsid w:val="00E96A38"/>
    <w:rsid w:val="00E9713D"/>
    <w:rsid w:val="00EA2C4A"/>
    <w:rsid w:val="00EA6CD4"/>
    <w:rsid w:val="00EB18A1"/>
    <w:rsid w:val="00EB2642"/>
    <w:rsid w:val="00EB78EF"/>
    <w:rsid w:val="00EC2FEE"/>
    <w:rsid w:val="00ED4978"/>
    <w:rsid w:val="00ED4A0A"/>
    <w:rsid w:val="00ED6BEF"/>
    <w:rsid w:val="00ED7E1A"/>
    <w:rsid w:val="00EE3E6F"/>
    <w:rsid w:val="00EE78FB"/>
    <w:rsid w:val="00EF39E1"/>
    <w:rsid w:val="00EF3D17"/>
    <w:rsid w:val="00EF3E1F"/>
    <w:rsid w:val="00EF4995"/>
    <w:rsid w:val="00F01771"/>
    <w:rsid w:val="00F01D74"/>
    <w:rsid w:val="00F055D9"/>
    <w:rsid w:val="00F05CA1"/>
    <w:rsid w:val="00F11167"/>
    <w:rsid w:val="00F112FB"/>
    <w:rsid w:val="00F12073"/>
    <w:rsid w:val="00F17273"/>
    <w:rsid w:val="00F214CD"/>
    <w:rsid w:val="00F3075C"/>
    <w:rsid w:val="00F33BBE"/>
    <w:rsid w:val="00F34606"/>
    <w:rsid w:val="00F35BE9"/>
    <w:rsid w:val="00F36B4C"/>
    <w:rsid w:val="00F377DC"/>
    <w:rsid w:val="00F4113A"/>
    <w:rsid w:val="00F4479D"/>
    <w:rsid w:val="00F46754"/>
    <w:rsid w:val="00F469CE"/>
    <w:rsid w:val="00F47731"/>
    <w:rsid w:val="00F5065F"/>
    <w:rsid w:val="00F527A6"/>
    <w:rsid w:val="00F531BA"/>
    <w:rsid w:val="00F54CCA"/>
    <w:rsid w:val="00F568A0"/>
    <w:rsid w:val="00F57D65"/>
    <w:rsid w:val="00F710B7"/>
    <w:rsid w:val="00F717E7"/>
    <w:rsid w:val="00F817F8"/>
    <w:rsid w:val="00F827FF"/>
    <w:rsid w:val="00F82957"/>
    <w:rsid w:val="00F82CE5"/>
    <w:rsid w:val="00F83119"/>
    <w:rsid w:val="00F91BAF"/>
    <w:rsid w:val="00F93A74"/>
    <w:rsid w:val="00FA1A10"/>
    <w:rsid w:val="00FA5ABD"/>
    <w:rsid w:val="00FB0165"/>
    <w:rsid w:val="00FB0748"/>
    <w:rsid w:val="00FB2C45"/>
    <w:rsid w:val="00FB68CF"/>
    <w:rsid w:val="00FC15E7"/>
    <w:rsid w:val="00FC494F"/>
    <w:rsid w:val="00FD3E3F"/>
    <w:rsid w:val="00FD7879"/>
    <w:rsid w:val="00FE285D"/>
    <w:rsid w:val="00FE36B8"/>
    <w:rsid w:val="00FE4A98"/>
    <w:rsid w:val="00FF1C4E"/>
    <w:rsid w:val="00FF5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69D5A3A3-67A9-4ECD-B696-6E834816FB7A}"/>
</file>

<file path=customXml/itemProps2.xml><?xml version="1.0" encoding="utf-8"?>
<ds:datastoreItem xmlns:ds="http://schemas.openxmlformats.org/officeDocument/2006/customXml" ds:itemID="{A95CB7A6-C270-47E0-8585-9BFDA4D3F220}"/>
</file>

<file path=customXml/itemProps3.xml><?xml version="1.0" encoding="utf-8"?>
<ds:datastoreItem xmlns:ds="http://schemas.openxmlformats.org/officeDocument/2006/customXml" ds:itemID="{8D91B1FB-77B5-4FB5-8F15-415644B00D01}"/>
</file>

<file path=customXml/itemProps4.xml><?xml version="1.0" encoding="utf-8"?>
<ds:datastoreItem xmlns:ds="http://schemas.openxmlformats.org/officeDocument/2006/customXml" ds:itemID="{981FCBE4-F421-42FD-B27F-1B3675F56F23}"/>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Company>WJEC</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1</cp:revision>
  <dcterms:created xsi:type="dcterms:W3CDTF">2016-08-05T13:26:00Z</dcterms:created>
  <dcterms:modified xsi:type="dcterms:W3CDTF">2016-08-05T13:28:00Z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