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43FC1" w14:textId="382E6D4F" w:rsidR="00191CD5" w:rsidRDefault="00191CD5" w:rsidP="00191CD5">
      <w:pPr>
        <w:spacing w:after="240" w:line="360" w:lineRule="atLeast"/>
        <w:jc w:val="center"/>
        <w:outlineLvl w:val="1"/>
        <w:rPr>
          <w:rFonts w:ascii="Arial" w:eastAsia="Times New Roman" w:hAnsi="Arial" w:cs="Arial"/>
          <w:color w:val="333333"/>
          <w:sz w:val="32"/>
          <w:szCs w:val="32"/>
          <w:lang w:val="en-US"/>
        </w:rPr>
      </w:pPr>
      <w:r>
        <w:rPr>
          <w:noProof/>
          <w:lang w:eastAsia="en-GB"/>
        </w:rPr>
        <w:drawing>
          <wp:inline distT="0" distB="0" distL="0" distR="0" wp14:anchorId="154C4365" wp14:editId="7FFBF99F">
            <wp:extent cx="6844864" cy="817581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4864" cy="81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F31F47" w14:textId="56F94317" w:rsidR="00F10283" w:rsidRPr="00191CD5" w:rsidRDefault="00F650A6" w:rsidP="00FD1D45">
      <w:pPr>
        <w:spacing w:after="240" w:line="360" w:lineRule="atLeast"/>
        <w:jc w:val="center"/>
        <w:outlineLvl w:val="1"/>
        <w:rPr>
          <w:rFonts w:ascii="Arial" w:eastAsia="Times New Roman" w:hAnsi="Arial" w:cs="Arial"/>
          <w:color w:val="333333"/>
          <w:sz w:val="32"/>
          <w:szCs w:val="32"/>
          <w:lang w:val="en-US"/>
        </w:rPr>
      </w:pPr>
      <w:r w:rsidRPr="00191CD5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Samarium-Neodymium </w:t>
      </w:r>
      <w:r w:rsidR="00795ACB" w:rsidRPr="00191CD5">
        <w:rPr>
          <w:rFonts w:ascii="Arial" w:eastAsia="Times New Roman" w:hAnsi="Arial" w:cs="Arial"/>
          <w:color w:val="333333"/>
          <w:sz w:val="32"/>
          <w:szCs w:val="32"/>
          <w:lang w:val="en-US"/>
        </w:rPr>
        <w:t>Dating</w:t>
      </w:r>
      <w:r w:rsidR="00FD1D45" w:rsidRPr="00191CD5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(Topic 3: Time and Change - Key Idea 2b.)</w:t>
      </w:r>
    </w:p>
    <w:p w14:paraId="7431874C" w14:textId="16B769F0" w:rsidR="00795ACB" w:rsidRPr="00FD1D45" w:rsidRDefault="00795ACB" w:rsidP="00795ACB">
      <w:pPr>
        <w:spacing w:after="300" w:line="315" w:lineRule="atLeast"/>
        <w:rPr>
          <w:rFonts w:ascii="Arial" w:hAnsi="Arial" w:cs="Arial"/>
          <w:color w:val="333333"/>
          <w:sz w:val="22"/>
          <w:szCs w:val="22"/>
          <w:lang w:val="en-US"/>
        </w:rPr>
      </w:pP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Samarium (Sm) and </w:t>
      </w:r>
      <w:r w:rsidR="00FD1D45">
        <w:rPr>
          <w:rFonts w:ascii="Arial" w:hAnsi="Arial" w:cs="Arial"/>
          <w:color w:val="333333"/>
          <w:sz w:val="22"/>
          <w:szCs w:val="22"/>
          <w:lang w:val="en-US"/>
        </w:rPr>
        <w:t>N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eodymium (</w:t>
      </w:r>
      <w:proofErr w:type="spellStart"/>
      <w:r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proofErr w:type="spellEnd"/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) are two of the 15 rare earth 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elements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(lanthanide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>s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) 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>that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exist in small 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but measurable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quantities in most rocks and minerals. The 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radioactive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isotope of Sm with 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an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atomic weight of 147 (</w:t>
      </w:r>
      <w:r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147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Sm) decays to </w:t>
      </w:r>
      <w:r w:rsidR="00A0735E">
        <w:rPr>
          <w:rFonts w:ascii="Arial" w:hAnsi="Arial" w:cs="Arial"/>
          <w:color w:val="333333"/>
          <w:sz w:val="22"/>
          <w:szCs w:val="22"/>
          <w:lang w:val="en-US"/>
        </w:rPr>
        <w:t xml:space="preserve">an isotope of </w:t>
      </w:r>
      <w:proofErr w:type="spellStart"/>
      <w:r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proofErr w:type="spellEnd"/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A0735E">
        <w:rPr>
          <w:rFonts w:ascii="Arial" w:hAnsi="Arial" w:cs="Arial"/>
          <w:color w:val="333333"/>
          <w:sz w:val="22"/>
          <w:szCs w:val="22"/>
          <w:lang w:val="en-US"/>
        </w:rPr>
        <w:t>with an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atomic weight </w:t>
      </w:r>
      <w:r w:rsidR="00A0735E">
        <w:rPr>
          <w:rFonts w:ascii="Arial" w:hAnsi="Arial" w:cs="Arial"/>
          <w:color w:val="333333"/>
          <w:sz w:val="22"/>
          <w:szCs w:val="22"/>
          <w:lang w:val="en-US"/>
        </w:rPr>
        <w:t xml:space="preserve">of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143 (</w:t>
      </w:r>
      <w:r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143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Nd). 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>This has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 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very long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half-life of 10</w:t>
      </w:r>
      <w:r w:rsidR="003B0CF1" w:rsidRPr="00FD1D45">
        <w:rPr>
          <w:rFonts w:ascii="Arial" w:hAnsi="Arial" w:cs="Arial"/>
          <w:color w:val="333333"/>
          <w:sz w:val="22"/>
          <w:szCs w:val="22"/>
          <w:lang w:val="en-US"/>
        </w:rPr>
        <w:t>6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billion years,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so this technique is best suited for rocks t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>hat are hundreds of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millions or 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>billions of years old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. </w:t>
      </w:r>
      <w:proofErr w:type="spellStart"/>
      <w:r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proofErr w:type="spellEnd"/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also exists as the stable isotope </w:t>
      </w:r>
      <w:r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144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Nd, 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against which </w:t>
      </w:r>
      <w:r w:rsidR="003B0CF1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143</w:t>
      </w:r>
      <w:r w:rsidR="003B0CF1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and </w:t>
      </w:r>
      <w:r w:rsidR="00F650A6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147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Sm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>are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measured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.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It has been possible to date rocks precisely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using this method</w:t>
      </w:r>
      <w:r w:rsidR="001F0B2C">
        <w:rPr>
          <w:rFonts w:ascii="Arial" w:hAnsi="Arial" w:cs="Arial"/>
          <w:color w:val="333333"/>
          <w:sz w:val="22"/>
          <w:szCs w:val="22"/>
          <w:lang w:val="en-US"/>
        </w:rPr>
        <w:t xml:space="preserve"> because the Sm and </w:t>
      </w:r>
      <w:proofErr w:type="spellStart"/>
      <w:r w:rsidR="001F0B2C">
        <w:rPr>
          <w:rFonts w:ascii="Arial" w:hAnsi="Arial" w:cs="Arial"/>
          <w:color w:val="333333"/>
          <w:sz w:val="22"/>
          <w:szCs w:val="22"/>
          <w:lang w:val="en-US"/>
        </w:rPr>
        <w:t>Nd</w:t>
      </w:r>
      <w:proofErr w:type="spellEnd"/>
      <w:r w:rsidR="001F0B2C">
        <w:rPr>
          <w:rFonts w:ascii="Arial" w:hAnsi="Arial" w:cs="Arial"/>
          <w:color w:val="333333"/>
          <w:sz w:val="22"/>
          <w:szCs w:val="22"/>
          <w:lang w:val="en-US"/>
        </w:rPr>
        <w:t xml:space="preserve"> content of their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constituent minerals have not been modified since the rock </w:t>
      </w:r>
      <w:proofErr w:type="spellStart"/>
      <w:r w:rsidRPr="00FD1D45">
        <w:rPr>
          <w:rFonts w:ascii="Arial" w:hAnsi="Arial" w:cs="Arial"/>
          <w:color w:val="333333"/>
          <w:sz w:val="22"/>
          <w:szCs w:val="22"/>
          <w:lang w:val="en-US"/>
        </w:rPr>
        <w:t>crystalli</w:t>
      </w:r>
      <w:r w:rsidR="00A0735E">
        <w:rPr>
          <w:rFonts w:ascii="Arial" w:hAnsi="Arial" w:cs="Arial"/>
          <w:color w:val="333333"/>
          <w:sz w:val="22"/>
          <w:szCs w:val="22"/>
          <w:lang w:val="en-US"/>
        </w:rPr>
        <w:t>se</w:t>
      </w:r>
      <w:proofErr w:type="spellEnd"/>
      <w:r w:rsidRPr="00FD1D45">
        <w:rPr>
          <w:rFonts w:ascii="Arial" w:hAnsi="Arial" w:cs="Arial"/>
          <w:color w:val="333333"/>
          <w:sz w:val="22"/>
          <w:szCs w:val="22"/>
          <w:lang w:val="en-US"/>
        </w:rPr>
        <w:t>.</w:t>
      </w:r>
    </w:p>
    <w:p w14:paraId="078CD5B5" w14:textId="77777777" w:rsidR="00624D44" w:rsidRDefault="001F0B2C" w:rsidP="003444DF">
      <w:pPr>
        <w:spacing w:after="300" w:line="315" w:lineRule="atLeast"/>
        <w:rPr>
          <w:rStyle w:val="CommentReference"/>
        </w:rPr>
      </w:pPr>
      <w:r>
        <w:rPr>
          <w:rFonts w:ascii="Arial" w:hAnsi="Arial" w:cs="Arial"/>
          <w:color w:val="333333"/>
          <w:sz w:val="22"/>
          <w:szCs w:val="22"/>
          <w:lang w:val="en-US"/>
        </w:rPr>
        <w:t>A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0E1A91" w:rsidRPr="00FD1D45">
        <w:rPr>
          <w:rFonts w:ascii="Arial" w:hAnsi="Arial" w:cs="Arial"/>
          <w:color w:val="333333"/>
          <w:sz w:val="22"/>
          <w:szCs w:val="22"/>
          <w:lang w:val="en-US"/>
        </w:rPr>
        <w:t>2.7-billion-year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old gabbro </w:t>
      </w:r>
      <w:r>
        <w:rPr>
          <w:rFonts w:ascii="Arial" w:hAnsi="Arial" w:cs="Arial"/>
          <w:color w:val="333333"/>
          <w:sz w:val="22"/>
          <w:szCs w:val="22"/>
          <w:lang w:val="en-US"/>
        </w:rPr>
        <w:t xml:space="preserve">is 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composed of plagioclase, and two types of pyroxene (</w:t>
      </w:r>
      <w:proofErr w:type="spellStart"/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clinopyroxene</w:t>
      </w:r>
      <w:proofErr w:type="spellEnd"/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and orthopyroxene). 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When the three minerals simultaneously </w:t>
      </w:r>
      <w:proofErr w:type="spellStart"/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>crystalli</w:t>
      </w:r>
      <w:r w:rsidR="00A0735E">
        <w:rPr>
          <w:rFonts w:ascii="Arial" w:hAnsi="Arial" w:cs="Arial"/>
          <w:color w:val="333333"/>
          <w:sz w:val="22"/>
          <w:szCs w:val="22"/>
          <w:lang w:val="en-US"/>
        </w:rPr>
        <w:t>se</w:t>
      </w:r>
      <w:proofErr w:type="spellEnd"/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, they possessed identical </w:t>
      </w:r>
      <w:r w:rsidR="00A0735E">
        <w:rPr>
          <w:rFonts w:ascii="Arial" w:hAnsi="Arial" w:cs="Arial"/>
          <w:color w:val="333333"/>
          <w:sz w:val="22"/>
          <w:szCs w:val="22"/>
          <w:lang w:val="en-US"/>
        </w:rPr>
        <w:t>ratios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of </w:t>
      </w:r>
      <w:r w:rsidR="00F650A6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143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and </w:t>
      </w:r>
      <w:r w:rsidR="00F650A6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144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(because isotopes of the same element behave essentially the same way in chemical processes such as crystallization) but different concentrations of </w:t>
      </w:r>
      <w:proofErr w:type="spellStart"/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proofErr w:type="spellEnd"/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and Sm. Thus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, when they first </w:t>
      </w:r>
      <w:proofErr w:type="spellStart"/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>crystallise</w:t>
      </w:r>
      <w:proofErr w:type="spellEnd"/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, the 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individual 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>mineral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>s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FD1D45">
        <w:rPr>
          <w:rFonts w:ascii="Arial" w:hAnsi="Arial" w:cs="Arial"/>
          <w:color w:val="333333"/>
          <w:sz w:val="22"/>
          <w:szCs w:val="22"/>
          <w:lang w:val="en-US"/>
        </w:rPr>
        <w:t>(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>and whole rock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samples</w:t>
      </w:r>
      <w:r w:rsidR="003444DF">
        <w:rPr>
          <w:rFonts w:ascii="Arial" w:hAnsi="Arial" w:cs="Arial"/>
          <w:color w:val="333333"/>
          <w:sz w:val="22"/>
          <w:szCs w:val="22"/>
          <w:lang w:val="en-US"/>
        </w:rPr>
        <w:t>)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would 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plot </w:t>
      </w:r>
      <w:r w:rsidR="009B055D">
        <w:rPr>
          <w:rFonts w:ascii="Arial" w:hAnsi="Arial" w:cs="Arial"/>
          <w:color w:val="333333"/>
          <w:sz w:val="22"/>
          <w:szCs w:val="22"/>
          <w:lang w:val="en-US"/>
        </w:rPr>
        <w:t xml:space="preserve">as 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>a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horizontal, straight line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on a </w:t>
      </w:r>
      <w:r w:rsidR="00FD1D45">
        <w:rPr>
          <w:rFonts w:ascii="Arial" w:hAnsi="Arial" w:cs="Arial"/>
          <w:color w:val="333333"/>
          <w:sz w:val="22"/>
          <w:szCs w:val="22"/>
          <w:lang w:val="en-US"/>
        </w:rPr>
        <w:t>graph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of </w:t>
      </w:r>
      <w:r w:rsidR="00FA5414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143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>Nd /</w:t>
      </w:r>
      <w:r w:rsidR="00FA5414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144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Nd versus </w:t>
      </w:r>
      <w:r w:rsidR="00FA5414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147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>Sm /</w:t>
      </w:r>
      <w:r w:rsidR="00FA5414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144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>.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(Figure 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1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). As </w:t>
      </w:r>
      <w:r w:rsidR="00F650A6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147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Sm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decays 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to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F650A6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143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with time, the</w:t>
      </w:r>
      <w:r w:rsidR="003444DF">
        <w:rPr>
          <w:rFonts w:ascii="Arial" w:hAnsi="Arial" w:cs="Arial"/>
          <w:color w:val="333333"/>
          <w:sz w:val="22"/>
          <w:szCs w:val="22"/>
          <w:lang w:val="en-US"/>
        </w:rPr>
        <w:t xml:space="preserve"> ratios for the </w:t>
      </w:r>
      <w:r w:rsidR="003444DF" w:rsidRPr="00FD1D45">
        <w:rPr>
          <w:rFonts w:ascii="Arial" w:hAnsi="Arial" w:cs="Arial"/>
          <w:color w:val="333333"/>
          <w:sz w:val="22"/>
          <w:szCs w:val="22"/>
          <w:lang w:val="en-US"/>
        </w:rPr>
        <w:t>mineral</w:t>
      </w:r>
      <w:r w:rsidR="003444DF">
        <w:rPr>
          <w:rFonts w:ascii="Arial" w:hAnsi="Arial" w:cs="Arial"/>
          <w:color w:val="333333"/>
          <w:sz w:val="22"/>
          <w:szCs w:val="22"/>
          <w:lang w:val="en-US"/>
        </w:rPr>
        <w:t xml:space="preserve"> and</w:t>
      </w:r>
      <w:r w:rsidR="003444DF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whole-rock samples </w:t>
      </w:r>
      <w:r w:rsidR="003444DF">
        <w:rPr>
          <w:rFonts w:ascii="Arial" w:hAnsi="Arial" w:cs="Arial"/>
          <w:color w:val="333333"/>
          <w:sz w:val="22"/>
          <w:szCs w:val="22"/>
          <w:lang w:val="en-US"/>
        </w:rPr>
        <w:t xml:space="preserve">on both axes 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will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change as shown</w:t>
      </w:r>
      <w:r w:rsidR="00FD1D45" w:rsidRPr="00FD1D45">
        <w:rPr>
          <w:rFonts w:ascii="Arial" w:hAnsi="Arial" w:cs="Arial"/>
          <w:color w:val="333333"/>
          <w:sz w:val="22"/>
          <w:szCs w:val="22"/>
          <w:lang w:val="en-US"/>
        </w:rPr>
        <w:t>;</w:t>
      </w:r>
      <w:r w:rsidR="00FD1D45" w:rsidRPr="00FD1D45">
        <w:rPr>
          <w:rFonts w:ascii="Arial" w:hAnsi="Arial" w:cs="Arial"/>
          <w:color w:val="252525"/>
          <w:sz w:val="22"/>
          <w:szCs w:val="22"/>
        </w:rPr>
        <w:t xml:space="preserve"> the ratio of the </w:t>
      </w:r>
      <w:r w:rsidR="00FD1D45" w:rsidRPr="00FD1D45">
        <w:rPr>
          <w:rFonts w:ascii="Arial" w:hAnsi="Arial" w:cs="Arial"/>
          <w:color w:val="252525"/>
          <w:sz w:val="22"/>
          <w:szCs w:val="22"/>
          <w:vertAlign w:val="superscript"/>
        </w:rPr>
        <w:t>143</w:t>
      </w:r>
      <w:r w:rsidR="00FD1D45" w:rsidRPr="00FD1D45">
        <w:rPr>
          <w:rFonts w:ascii="Arial" w:hAnsi="Arial" w:cs="Arial"/>
          <w:color w:val="252525"/>
          <w:sz w:val="22"/>
          <w:szCs w:val="22"/>
        </w:rPr>
        <w:t xml:space="preserve">Nd to </w:t>
      </w:r>
      <w:r w:rsidR="00FD1D45" w:rsidRPr="00FD1D45">
        <w:rPr>
          <w:rFonts w:ascii="Arial" w:hAnsi="Arial" w:cs="Arial"/>
          <w:color w:val="252525"/>
          <w:sz w:val="22"/>
          <w:szCs w:val="22"/>
          <w:vertAlign w:val="superscript"/>
        </w:rPr>
        <w:t>144</w:t>
      </w:r>
      <w:r w:rsidR="00FD1D45" w:rsidRPr="00FD1D45">
        <w:rPr>
          <w:rFonts w:ascii="Arial" w:hAnsi="Arial" w:cs="Arial"/>
          <w:color w:val="252525"/>
          <w:sz w:val="22"/>
          <w:szCs w:val="22"/>
        </w:rPr>
        <w:t xml:space="preserve">Nd will become larger with time, while the ratio of </w:t>
      </w:r>
      <w:r w:rsidR="00FD1D45" w:rsidRPr="00FD1D45">
        <w:rPr>
          <w:rFonts w:ascii="Arial" w:hAnsi="Arial" w:cs="Arial"/>
          <w:color w:val="252525"/>
          <w:sz w:val="22"/>
          <w:szCs w:val="22"/>
          <w:vertAlign w:val="superscript"/>
        </w:rPr>
        <w:t>147</w:t>
      </w:r>
      <w:r w:rsidR="00FD1D45" w:rsidRPr="00FD1D45">
        <w:rPr>
          <w:rFonts w:ascii="Arial" w:hAnsi="Arial" w:cs="Arial"/>
          <w:color w:val="252525"/>
          <w:sz w:val="22"/>
          <w:szCs w:val="22"/>
        </w:rPr>
        <w:t xml:space="preserve">Sm to </w:t>
      </w:r>
      <w:r w:rsidR="00FD1D45" w:rsidRPr="00FD1D45">
        <w:rPr>
          <w:rFonts w:ascii="Arial" w:hAnsi="Arial" w:cs="Arial"/>
          <w:color w:val="252525"/>
          <w:sz w:val="22"/>
          <w:szCs w:val="22"/>
          <w:vertAlign w:val="superscript"/>
        </w:rPr>
        <w:t>144</w:t>
      </w:r>
      <w:r w:rsidR="00FD1D45" w:rsidRPr="00FD1D45">
        <w:rPr>
          <w:rFonts w:ascii="Arial" w:hAnsi="Arial" w:cs="Arial"/>
          <w:color w:val="252525"/>
          <w:sz w:val="22"/>
          <w:szCs w:val="22"/>
        </w:rPr>
        <w:t>Nd will become smaller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. </w:t>
      </w:r>
      <w:r w:rsidR="00A0735E">
        <w:t xml:space="preserve">For </w:t>
      </w:r>
      <w:r w:rsidR="00A04BEE">
        <w:t>any given period of time</w:t>
      </w:r>
      <w:r w:rsidR="00A0735E">
        <w:t xml:space="preserve">, the </w:t>
      </w:r>
      <w:r w:rsidR="00A04BEE">
        <w:t xml:space="preserve">change in </w:t>
      </w:r>
      <w:r w:rsidR="00A04BEE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143</w:t>
      </w:r>
      <w:r w:rsidR="00A04BEE" w:rsidRPr="00FD1D45">
        <w:rPr>
          <w:rFonts w:ascii="Arial" w:hAnsi="Arial" w:cs="Arial"/>
          <w:color w:val="333333"/>
          <w:sz w:val="22"/>
          <w:szCs w:val="22"/>
          <w:lang w:val="en-US"/>
        </w:rPr>
        <w:t>Nd /</w:t>
      </w:r>
      <w:r w:rsidR="00A04BEE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144</w:t>
      </w:r>
      <w:r w:rsidR="00A04BEE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="009B055D">
        <w:rPr>
          <w:rFonts w:ascii="Arial" w:hAnsi="Arial" w:cs="Arial"/>
          <w:color w:val="333333"/>
          <w:sz w:val="22"/>
          <w:szCs w:val="22"/>
          <w:lang w:val="en-US"/>
        </w:rPr>
        <w:t xml:space="preserve"> and </w:t>
      </w:r>
      <w:r w:rsidR="009B055D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147</w:t>
      </w:r>
      <w:r w:rsidR="009B055D" w:rsidRPr="00FD1D45">
        <w:rPr>
          <w:rFonts w:ascii="Arial" w:hAnsi="Arial" w:cs="Arial"/>
          <w:color w:val="333333"/>
          <w:sz w:val="22"/>
          <w:szCs w:val="22"/>
          <w:lang w:val="en-US"/>
        </w:rPr>
        <w:t>Sm /</w:t>
      </w:r>
      <w:r w:rsidR="009B055D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144</w:t>
      </w:r>
      <w:r w:rsidR="009B055D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="00A04BEE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A0735E">
        <w:t>ratio</w:t>
      </w:r>
      <w:r w:rsidR="009B055D">
        <w:t>s</w:t>
      </w:r>
      <w:r w:rsidR="00A0735E">
        <w:t xml:space="preserve"> will be</w:t>
      </w:r>
      <w:r w:rsidR="00A04BEE">
        <w:t xml:space="preserve"> greater</w:t>
      </w:r>
      <w:r w:rsidR="00A0735E">
        <w:t xml:space="preserve"> for minerals with a </w:t>
      </w:r>
      <w:r w:rsidR="00C427E6">
        <w:t>higher</w:t>
      </w:r>
      <w:r w:rsidR="00A0735E">
        <w:t xml:space="preserve"> concentration of the parent </w:t>
      </w:r>
      <w:r w:rsidR="00A0735E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147</w:t>
      </w:r>
      <w:r w:rsidR="00A0735E" w:rsidRPr="00FD1D45">
        <w:rPr>
          <w:rFonts w:ascii="Arial" w:hAnsi="Arial" w:cs="Arial"/>
          <w:color w:val="333333"/>
          <w:sz w:val="22"/>
          <w:szCs w:val="22"/>
          <w:lang w:val="en-US"/>
        </w:rPr>
        <w:t>Sm</w:t>
      </w:r>
      <w:r w:rsidR="00A0735E">
        <w:t xml:space="preserve"> </w:t>
      </w:r>
      <w:r w:rsidR="00EF786A">
        <w:t xml:space="preserve">isotope </w:t>
      </w:r>
      <w:r w:rsidR="00A0735E">
        <w:t xml:space="preserve">(e.g. pyroxene), than a </w:t>
      </w:r>
      <w:r w:rsidR="00C427E6">
        <w:t>lower</w:t>
      </w:r>
      <w:r w:rsidR="00A0735E">
        <w:t xml:space="preserve"> concentration (e.g. plagioclase).</w:t>
      </w:r>
      <w:r w:rsidR="00A0735E" w:rsidRPr="00FD1D45">
        <w:rPr>
          <w:rFonts w:ascii="Arial" w:hAnsi="Arial" w:cs="Arial"/>
          <w:color w:val="252525"/>
          <w:sz w:val="22"/>
          <w:szCs w:val="22"/>
        </w:rPr>
        <w:t xml:space="preserve"> </w:t>
      </w:r>
      <w:r w:rsidR="00A04BEE" w:rsidRPr="00FD1D45">
        <w:rPr>
          <w:rFonts w:ascii="Arial" w:hAnsi="Arial" w:cs="Arial"/>
          <w:color w:val="333333"/>
          <w:sz w:val="22"/>
          <w:szCs w:val="22"/>
          <w:lang w:val="en-US"/>
        </w:rPr>
        <w:t>In this way, the slope of the line formed (</w:t>
      </w:r>
      <w:proofErr w:type="spellStart"/>
      <w:r w:rsidR="00A04BEE">
        <w:rPr>
          <w:rFonts w:ascii="Arial" w:hAnsi="Arial" w:cs="Arial"/>
          <w:color w:val="333333"/>
          <w:sz w:val="22"/>
          <w:szCs w:val="22"/>
          <w:lang w:val="en-US"/>
        </w:rPr>
        <w:t>isochron</w:t>
      </w:r>
      <w:proofErr w:type="spellEnd"/>
      <w:r w:rsidR="00A04BEE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) </w:t>
      </w:r>
      <w:r w:rsidR="009B055D">
        <w:rPr>
          <w:rFonts w:ascii="Arial" w:hAnsi="Arial" w:cs="Arial"/>
          <w:color w:val="333333"/>
          <w:sz w:val="22"/>
          <w:szCs w:val="22"/>
          <w:lang w:val="en-US"/>
        </w:rPr>
        <w:t>is</w:t>
      </w:r>
      <w:r w:rsidR="009B055D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A04BEE" w:rsidRPr="00FD1D45">
        <w:rPr>
          <w:rFonts w:ascii="Arial" w:hAnsi="Arial" w:cs="Arial"/>
          <w:color w:val="333333"/>
          <w:sz w:val="22"/>
          <w:szCs w:val="22"/>
          <w:lang w:val="en-US"/>
        </w:rPr>
        <w:t>proportional to age.</w:t>
      </w:r>
    </w:p>
    <w:p w14:paraId="350B7C88" w14:textId="40EF3820" w:rsidR="00A04BEE" w:rsidRDefault="00C64F54" w:rsidP="003444DF">
      <w:pPr>
        <w:spacing w:after="300" w:line="315" w:lineRule="atLeast"/>
        <w:rPr>
          <w:rFonts w:ascii="Arial" w:hAnsi="Arial" w:cs="Arial"/>
          <w:color w:val="252525"/>
          <w:sz w:val="22"/>
          <w:szCs w:val="22"/>
        </w:rPr>
      </w:pPr>
      <w:r>
        <w:rPr>
          <w:rFonts w:ascii="Arial" w:hAnsi="Arial" w:cs="Arial"/>
          <w:noProof/>
          <w:color w:val="333333"/>
          <w:sz w:val="22"/>
          <w:szCs w:val="22"/>
          <w:lang w:eastAsia="en-GB"/>
        </w:rPr>
        <w:drawing>
          <wp:inline distT="0" distB="0" distL="0" distR="0" wp14:anchorId="6E178785" wp14:editId="59AC9B78">
            <wp:extent cx="6200344" cy="3057525"/>
            <wp:effectExtent l="0" t="0" r="0" b="0"/>
            <wp:docPr id="1" name="Picture 1" descr="../Screen%20Shot%202017-01-15%20at%2016.55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creen%20Shot%202017-01-15%20at%2016.55.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327" cy="306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C4179" w14:textId="6958279E" w:rsidR="00FC7E70" w:rsidRPr="00FD1D45" w:rsidRDefault="00795ACB" w:rsidP="00FD1D45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Figure </w:t>
      </w:r>
      <w:r w:rsidR="00F650A6" w:rsidRPr="00FD1D45">
        <w:rPr>
          <w:rFonts w:ascii="Arial" w:hAnsi="Arial" w:cs="Arial"/>
          <w:i/>
          <w:iCs/>
          <w:color w:val="333333"/>
          <w:sz w:val="22"/>
          <w:szCs w:val="22"/>
        </w:rPr>
        <w:t>1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. Dating Graph: </w:t>
      </w:r>
      <w:r w:rsidR="006B3D48">
        <w:rPr>
          <w:rFonts w:ascii="Arial" w:hAnsi="Arial" w:cs="Arial"/>
          <w:i/>
          <w:iCs/>
          <w:color w:val="333333"/>
          <w:sz w:val="22"/>
          <w:szCs w:val="22"/>
        </w:rPr>
        <w:t xml:space="preserve">The </w:t>
      </w:r>
      <w:r w:rsidR="003B4742" w:rsidRPr="00FD1D45">
        <w:rPr>
          <w:rFonts w:ascii="Arial" w:hAnsi="Arial" w:cs="Arial"/>
          <w:i/>
          <w:iCs/>
          <w:color w:val="333333"/>
          <w:sz w:val="22"/>
          <w:szCs w:val="22"/>
        </w:rPr>
        <w:t>minerals plagioclase and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r w:rsidR="006B3D48">
        <w:rPr>
          <w:rFonts w:ascii="Arial" w:hAnsi="Arial" w:cs="Arial"/>
          <w:i/>
          <w:iCs/>
          <w:color w:val="333333"/>
          <w:sz w:val="22"/>
          <w:szCs w:val="22"/>
        </w:rPr>
        <w:t xml:space="preserve">both </w:t>
      </w:r>
      <w:r w:rsidR="003B4742" w:rsidRPr="00FD1D45">
        <w:rPr>
          <w:rFonts w:ascii="Arial" w:hAnsi="Arial" w:cs="Arial"/>
          <w:i/>
          <w:iCs/>
          <w:color w:val="333333"/>
          <w:sz w:val="22"/>
          <w:szCs w:val="22"/>
        </w:rPr>
        <w:t>pyroxenes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, </w:t>
      </w:r>
      <w:r w:rsidR="004D5F3E">
        <w:rPr>
          <w:rFonts w:ascii="Arial" w:hAnsi="Arial" w:cs="Arial"/>
          <w:i/>
          <w:iCs/>
          <w:color w:val="333333"/>
          <w:sz w:val="22"/>
          <w:szCs w:val="22"/>
        </w:rPr>
        <w:t>(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along with </w:t>
      </w:r>
      <w:r w:rsidR="001D076E">
        <w:rPr>
          <w:rFonts w:ascii="Arial" w:hAnsi="Arial" w:cs="Arial"/>
          <w:i/>
          <w:iCs/>
          <w:color w:val="333333"/>
          <w:sz w:val="22"/>
          <w:szCs w:val="22"/>
        </w:rPr>
        <w:t>a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 whole rock</w:t>
      </w:r>
      <w:r w:rsidR="001D076E">
        <w:rPr>
          <w:rFonts w:ascii="Arial" w:hAnsi="Arial" w:cs="Arial"/>
          <w:i/>
          <w:iCs/>
          <w:color w:val="333333"/>
          <w:sz w:val="22"/>
          <w:szCs w:val="22"/>
        </w:rPr>
        <w:t xml:space="preserve"> sample</w:t>
      </w:r>
      <w:r w:rsidR="004D5F3E">
        <w:rPr>
          <w:rFonts w:ascii="Arial" w:hAnsi="Arial" w:cs="Arial"/>
          <w:i/>
          <w:iCs/>
          <w:color w:val="333333"/>
          <w:sz w:val="22"/>
          <w:szCs w:val="22"/>
        </w:rPr>
        <w:t>)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 have the same </w:t>
      </w:r>
      <w:r w:rsidR="003B4742"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ratio of </w:t>
      </w:r>
      <w:r w:rsidR="003B4742" w:rsidRPr="00FD1D45">
        <w:rPr>
          <w:rFonts w:ascii="Arial" w:hAnsi="Arial" w:cs="Arial"/>
          <w:color w:val="333333"/>
          <w:sz w:val="22"/>
          <w:szCs w:val="22"/>
          <w:vertAlign w:val="superscript"/>
        </w:rPr>
        <w:t>143</w:t>
      </w:r>
      <w:r w:rsidR="003B4742" w:rsidRPr="00FD1D45">
        <w:rPr>
          <w:rFonts w:ascii="Arial" w:hAnsi="Arial" w:cs="Arial"/>
          <w:color w:val="333333"/>
          <w:sz w:val="22"/>
          <w:szCs w:val="22"/>
        </w:rPr>
        <w:t>Nd /</w:t>
      </w:r>
      <w:r w:rsidR="003B4742" w:rsidRPr="00FD1D45">
        <w:rPr>
          <w:rFonts w:ascii="Arial" w:hAnsi="Arial" w:cs="Arial"/>
          <w:color w:val="333333"/>
          <w:sz w:val="22"/>
          <w:szCs w:val="22"/>
          <w:vertAlign w:val="superscript"/>
        </w:rPr>
        <w:t>144</w:t>
      </w:r>
      <w:r w:rsidR="003B4742" w:rsidRPr="00FD1D45">
        <w:rPr>
          <w:rFonts w:ascii="Arial" w:hAnsi="Arial" w:cs="Arial"/>
          <w:color w:val="333333"/>
          <w:sz w:val="22"/>
          <w:szCs w:val="22"/>
        </w:rPr>
        <w:t xml:space="preserve">Nd </w:t>
      </w:r>
      <w:r w:rsidR="000E1A91">
        <w:rPr>
          <w:rFonts w:ascii="Arial" w:hAnsi="Arial" w:cs="Arial"/>
          <w:color w:val="333333"/>
          <w:sz w:val="22"/>
          <w:szCs w:val="22"/>
        </w:rPr>
        <w:t>at the t</w:t>
      </w:r>
      <w:r w:rsidR="006B3D48">
        <w:rPr>
          <w:rFonts w:ascii="Arial" w:hAnsi="Arial" w:cs="Arial"/>
          <w:color w:val="333333"/>
          <w:sz w:val="22"/>
          <w:szCs w:val="22"/>
        </w:rPr>
        <w:t xml:space="preserve">ime of </w:t>
      </w:r>
      <w:proofErr w:type="spellStart"/>
      <w:r w:rsidR="000E1A91">
        <w:rPr>
          <w:rFonts w:ascii="Arial" w:hAnsi="Arial" w:cs="Arial"/>
          <w:color w:val="333333"/>
          <w:sz w:val="22"/>
          <w:szCs w:val="22"/>
        </w:rPr>
        <w:t>crystallisation</w:t>
      </w:r>
      <w:proofErr w:type="spellEnd"/>
      <w:r w:rsidR="000E1A91">
        <w:rPr>
          <w:rFonts w:ascii="Arial" w:hAnsi="Arial" w:cs="Arial"/>
          <w:color w:val="333333"/>
          <w:sz w:val="22"/>
          <w:szCs w:val="22"/>
        </w:rPr>
        <w:t xml:space="preserve"> </w:t>
      </w:r>
      <w:r w:rsidR="000E1A91">
        <w:rPr>
          <w:rFonts w:ascii="Arial" w:hAnsi="Arial" w:cs="Arial"/>
          <w:i/>
          <w:iCs/>
          <w:color w:val="333333"/>
          <w:sz w:val="22"/>
          <w:szCs w:val="22"/>
        </w:rPr>
        <w:t>(horizontal line). Over time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, </w:t>
      </w:r>
      <w:r w:rsidR="003B4742" w:rsidRPr="00FD1D45">
        <w:rPr>
          <w:rFonts w:ascii="Arial" w:hAnsi="Arial" w:cs="Arial"/>
          <w:color w:val="333333"/>
          <w:sz w:val="22"/>
          <w:szCs w:val="22"/>
          <w:vertAlign w:val="superscript"/>
        </w:rPr>
        <w:t>147</w:t>
      </w:r>
      <w:r w:rsidR="003B4742" w:rsidRPr="00FD1D45">
        <w:rPr>
          <w:rFonts w:ascii="Arial" w:hAnsi="Arial" w:cs="Arial"/>
          <w:color w:val="333333"/>
          <w:sz w:val="22"/>
          <w:szCs w:val="22"/>
        </w:rPr>
        <w:t>Sm</w:t>
      </w:r>
      <w:r w:rsidR="003B4742"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decays to </w:t>
      </w:r>
      <w:r w:rsidR="003B4742" w:rsidRPr="00FD1D45">
        <w:rPr>
          <w:rFonts w:ascii="Arial" w:hAnsi="Arial" w:cs="Arial"/>
          <w:color w:val="333333"/>
          <w:sz w:val="22"/>
          <w:szCs w:val="22"/>
          <w:vertAlign w:val="superscript"/>
        </w:rPr>
        <w:t>143</w:t>
      </w:r>
      <w:r w:rsidR="003B4742" w:rsidRPr="00FD1D45">
        <w:rPr>
          <w:rFonts w:ascii="Arial" w:hAnsi="Arial" w:cs="Arial"/>
          <w:color w:val="333333"/>
          <w:sz w:val="22"/>
          <w:szCs w:val="22"/>
        </w:rPr>
        <w:t>Nd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 and the mineral compositions change, as indicated by the connecting </w:t>
      </w:r>
      <w:r w:rsidR="000E1A91">
        <w:rPr>
          <w:rFonts w:ascii="Arial" w:hAnsi="Arial" w:cs="Arial"/>
          <w:i/>
          <w:iCs/>
          <w:color w:val="333333"/>
          <w:sz w:val="22"/>
          <w:szCs w:val="22"/>
        </w:rPr>
        <w:t>arrows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>. The</w:t>
      </w:r>
      <w:r w:rsidR="000E1A91">
        <w:rPr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proofErr w:type="spellStart"/>
      <w:r w:rsidRPr="00FD1D45">
        <w:rPr>
          <w:rFonts w:ascii="Arial" w:hAnsi="Arial" w:cs="Arial"/>
          <w:i/>
          <w:iCs/>
          <w:color w:val="333333"/>
          <w:sz w:val="22"/>
          <w:szCs w:val="22"/>
        </w:rPr>
        <w:t>isochron</w:t>
      </w:r>
      <w:proofErr w:type="spellEnd"/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 thus rotates with time, and its slope is proportional to the rock's age.</w:t>
      </w:r>
    </w:p>
    <w:sectPr w:rsidR="00FC7E70" w:rsidRPr="00FD1D45" w:rsidSect="00191CD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B"/>
    <w:rsid w:val="000E1A91"/>
    <w:rsid w:val="001370CE"/>
    <w:rsid w:val="00191CD5"/>
    <w:rsid w:val="001D076E"/>
    <w:rsid w:val="001F0B2C"/>
    <w:rsid w:val="00240026"/>
    <w:rsid w:val="003444DF"/>
    <w:rsid w:val="003B0CF1"/>
    <w:rsid w:val="003B4742"/>
    <w:rsid w:val="004D5F3E"/>
    <w:rsid w:val="00624D44"/>
    <w:rsid w:val="006262DA"/>
    <w:rsid w:val="006B3D48"/>
    <w:rsid w:val="006F6E25"/>
    <w:rsid w:val="00795ACB"/>
    <w:rsid w:val="009A5604"/>
    <w:rsid w:val="009B055D"/>
    <w:rsid w:val="00A04BEE"/>
    <w:rsid w:val="00A0735E"/>
    <w:rsid w:val="00C427E6"/>
    <w:rsid w:val="00C64F54"/>
    <w:rsid w:val="00DB36B6"/>
    <w:rsid w:val="00EF786A"/>
    <w:rsid w:val="00F10283"/>
    <w:rsid w:val="00F650A6"/>
    <w:rsid w:val="00F81C08"/>
    <w:rsid w:val="00FA5414"/>
    <w:rsid w:val="00FC7E70"/>
    <w:rsid w:val="00F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F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795AC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795AC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5ACB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5ACB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95AC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795A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95ACB"/>
    <w:rPr>
      <w:color w:val="0000FF"/>
      <w:u w:val="single"/>
    </w:rPr>
  </w:style>
  <w:style w:type="character" w:customStyle="1" w:styleId="mw-headline">
    <w:name w:val="mw-headline"/>
    <w:basedOn w:val="DefaultParagraphFont"/>
    <w:rsid w:val="00240026"/>
  </w:style>
  <w:style w:type="character" w:customStyle="1" w:styleId="mw-editsection">
    <w:name w:val="mw-editsection"/>
    <w:basedOn w:val="DefaultParagraphFont"/>
    <w:rsid w:val="00240026"/>
  </w:style>
  <w:style w:type="character" w:customStyle="1" w:styleId="mw-editsection-bracket">
    <w:name w:val="mw-editsection-bracket"/>
    <w:basedOn w:val="DefaultParagraphFont"/>
    <w:rsid w:val="00240026"/>
  </w:style>
  <w:style w:type="character" w:customStyle="1" w:styleId="apple-converted-space">
    <w:name w:val="apple-converted-space"/>
    <w:basedOn w:val="DefaultParagraphFont"/>
    <w:rsid w:val="00240026"/>
  </w:style>
  <w:style w:type="character" w:styleId="CommentReference">
    <w:name w:val="annotation reference"/>
    <w:basedOn w:val="DefaultParagraphFont"/>
    <w:uiPriority w:val="99"/>
    <w:semiHidden/>
    <w:unhideWhenUsed/>
    <w:rsid w:val="000E1A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A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A9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A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91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91"/>
    <w:rPr>
      <w:rFonts w:ascii="Times New Roman" w:hAnsi="Times New Roman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795AC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795AC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5ACB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5ACB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95AC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795A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95ACB"/>
    <w:rPr>
      <w:color w:val="0000FF"/>
      <w:u w:val="single"/>
    </w:rPr>
  </w:style>
  <w:style w:type="character" w:customStyle="1" w:styleId="mw-headline">
    <w:name w:val="mw-headline"/>
    <w:basedOn w:val="DefaultParagraphFont"/>
    <w:rsid w:val="00240026"/>
  </w:style>
  <w:style w:type="character" w:customStyle="1" w:styleId="mw-editsection">
    <w:name w:val="mw-editsection"/>
    <w:basedOn w:val="DefaultParagraphFont"/>
    <w:rsid w:val="00240026"/>
  </w:style>
  <w:style w:type="character" w:customStyle="1" w:styleId="mw-editsection-bracket">
    <w:name w:val="mw-editsection-bracket"/>
    <w:basedOn w:val="DefaultParagraphFont"/>
    <w:rsid w:val="00240026"/>
  </w:style>
  <w:style w:type="character" w:customStyle="1" w:styleId="apple-converted-space">
    <w:name w:val="apple-converted-space"/>
    <w:basedOn w:val="DefaultParagraphFont"/>
    <w:rsid w:val="00240026"/>
  </w:style>
  <w:style w:type="character" w:styleId="CommentReference">
    <w:name w:val="annotation reference"/>
    <w:basedOn w:val="DefaultParagraphFont"/>
    <w:uiPriority w:val="99"/>
    <w:semiHidden/>
    <w:unhideWhenUsed/>
    <w:rsid w:val="000E1A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A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A9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A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91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91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9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0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8586489">
                  <w:marLeft w:val="0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084937">
          <w:marLeft w:val="-54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01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4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WJEC</cp:lastModifiedBy>
  <cp:revision>3</cp:revision>
  <dcterms:created xsi:type="dcterms:W3CDTF">2017-01-16T14:06:00Z</dcterms:created>
  <dcterms:modified xsi:type="dcterms:W3CDTF">2017-01-16T22:11:00Z</dcterms:modified>
</cp:coreProperties>
</file>